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/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国家自然科学基金区域联合基金（广东）</w:t>
      </w:r>
      <w:r>
        <w:rPr>
          <w:rFonts w:hint="eastAsia" w:ascii="黑体" w:eastAsia="黑体"/>
          <w:sz w:val="32"/>
          <w:szCs w:val="32"/>
        </w:rPr>
        <w:t>指南建议征集表</w:t>
      </w:r>
    </w:p>
    <w:tbl>
      <w:tblPr>
        <w:tblStyle w:val="3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5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国家自然科学基金区域创新发展联合基金（广东）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重点项目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批次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所属领域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可拉选</w:t>
            </w:r>
            <w:r>
              <w:rPr>
                <w:rFonts w:hint="eastAsia"/>
                <w:sz w:val="24"/>
                <w:lang w:eastAsia="zh-CN"/>
              </w:rPr>
              <w:t>（生物与农业、环境与生态、新材料与先进制造、电子信息、人口与健康）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指南方向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（填写，不超过</w:t>
            </w:r>
            <w:r>
              <w:rPr>
                <w:rFonts w:hint="eastAsia"/>
                <w:sz w:val="24"/>
                <w:lang w:val="en-US" w:eastAsia="zh-CN"/>
              </w:rPr>
              <w:t>25个字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（可拉选，国家自然科学基金委学科代码）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922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指南内容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文字表述简明扼要，高度凝练，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90</w:t>
            </w:r>
            <w:r>
              <w:rPr>
                <w:rFonts w:hint="eastAsia" w:ascii="黑体" w:hAnsi="宋体" w:eastAsia="黑体"/>
                <w:sz w:val="24"/>
              </w:rPr>
              <w:t>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以内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922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sz w:val="24"/>
              </w:rPr>
              <w:t>00字）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（主要从行业领域发展的必要性、重要性、对广东支撑作用或体现广东优势特色等角度阐述）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922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</w:t>
            </w:r>
            <w:r>
              <w:rPr>
                <w:rFonts w:hint="eastAsia"/>
                <w:color w:val="FF0000"/>
                <w:sz w:val="24"/>
                <w:lang w:eastAsia="zh-CN"/>
              </w:rPr>
              <w:t>优势</w:t>
            </w: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省内及国内从事该领域研究的主要院校(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2-3家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noWrap w:val="0"/>
            <w:vAlign w:val="center"/>
          </w:tcPr>
          <w:p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noWrap w:val="0"/>
            <w:vAlign w:val="center"/>
          </w:tcPr>
          <w:p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D1BBB"/>
    <w:rsid w:val="E7F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2022-02-21T09:15:00Z</dcterms:created>
  <dc:creator>guest</dc:creator>
  <cp:lastModifiedBy>guest</cp:lastModifiedBy>
  <dcterms:modified xsi:type="dcterms:W3CDTF">2022-02-21T09:15:52Z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