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beforeAutospacing="0" w:afterAutospacing="0" w:line="276" w:lineRule="auto"/>
        <w:jc w:val="left"/>
        <w:textAlignment w:val="auto"/>
        <w:rPr>
          <w:rFonts w:ascii="仿宋" w:hAnsi="仿宋" w:eastAsia="仿宋" w:cs="微软雅黑"/>
          <w:bCs/>
          <w:sz w:val="36"/>
          <w:szCs w:val="36"/>
        </w:rPr>
      </w:pPr>
      <w:r>
        <w:rPr>
          <w:rFonts w:hint="eastAsia" w:ascii="仿宋" w:hAnsi="仿宋" w:eastAsia="仿宋" w:cs="微软雅黑"/>
          <w:bCs/>
          <w:sz w:val="32"/>
          <w:szCs w:val="32"/>
        </w:rPr>
        <w:t>附件2</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r>
        <w:rPr>
          <w:rFonts w:hint="eastAsia" w:ascii="华文中宋" w:hAnsi="华文中宋" w:eastAsia="华文中宋" w:cs="华文中宋"/>
          <w:b w:val="0"/>
          <w:bCs w:val="0"/>
          <w:spacing w:val="-10"/>
          <w:sz w:val="36"/>
          <w:szCs w:val="36"/>
          <w:lang w:bidi="ar"/>
        </w:rPr>
        <w:t>“炎症性肠病发病机制和干预策略研究”</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r>
        <w:rPr>
          <w:rFonts w:hint="eastAsia" w:ascii="华文中宋" w:hAnsi="华文中宋" w:eastAsia="华文中宋" w:cs="华文中宋"/>
          <w:b w:val="0"/>
          <w:bCs w:val="0"/>
          <w:spacing w:val="-10"/>
          <w:sz w:val="36"/>
          <w:szCs w:val="36"/>
          <w:lang w:bidi="ar"/>
        </w:rPr>
        <w:t>专项项目指南</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p>
    <w:p>
      <w:pPr>
        <w:pStyle w:val="5"/>
        <w:keepNext w:val="0"/>
        <w:keepLines w:val="0"/>
        <w:pageBreakBefore w:val="0"/>
        <w:shd w:val="clear" w:color="auto" w:fill="FFFFFF"/>
        <w:kinsoku/>
        <w:topLinePunct w:val="0"/>
        <w:autoSpaceDE/>
        <w:autoSpaceDN/>
        <w:bidi w:val="0"/>
        <w:adjustRightInd w:val="0"/>
        <w:snapToGrid w:val="0"/>
        <w:spacing w:before="0" w:beforeAutospacing="0" w:after="0" w:afterAutospacing="0" w:line="560" w:lineRule="exact"/>
        <w:ind w:left="0"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炎症性肠病（Inflammatory Bowel Disease, IBD）是常见慢性、肠道非特异性炎症性疾病，其病因复杂、病情迁延、反复发作，严重危害人民健康。为此，国家自然科学基金委员会（以下简称自然科学基金委）医学科学部设立“炎症性肠病发病机制和干预策略研究”专项项目。该专项项目基于我国IBD研究现状和临床防治的需求，结合我国专病队列、生物样本资源库以及中医药学临床诊疗特色，以治疗炎症性肠病新理论、新策略为突破口，拟从现代医学和传统医学两部分，深入探索炎症性肠病的发病机制和干预策略，通过相关基础研究与临床研究的深度交叉合作，阐明新理论、建立新技术、形成新策略，为精准诊断、有效防治和创新药物的发现提供科学依据。</w:t>
      </w:r>
    </w:p>
    <w:p>
      <w:pPr>
        <w:pStyle w:val="5"/>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一、科学目标和资助方向</w:t>
      </w:r>
    </w:p>
    <w:p>
      <w:pPr>
        <w:keepNext w:val="0"/>
        <w:keepLines w:val="0"/>
        <w:pageBreakBefore w:val="0"/>
        <w:kinsoku/>
        <w:topLinePunct w:val="0"/>
        <w:autoSpaceDE/>
        <w:autoSpaceDN/>
        <w:bidi w:val="0"/>
        <w:spacing w:beforeAutospacing="0" w:afterAutospacing="0" w:line="276" w:lineRule="auto"/>
        <w:ind w:firstLine="640" w:firstLineChars="200"/>
        <w:textAlignment w:val="auto"/>
        <w:rPr>
          <w:rFonts w:ascii="黑体" w:hAnsi="黑体" w:eastAsia="黑体" w:cs="微软雅黑"/>
          <w:b/>
          <w:bCs/>
          <w:sz w:val="32"/>
          <w:szCs w:val="32"/>
        </w:rPr>
      </w:pPr>
      <w:r>
        <w:rPr>
          <w:rFonts w:hint="eastAsia" w:ascii="黑体" w:hAnsi="黑体" w:eastAsia="黑体" w:cs="微软雅黑"/>
          <w:b w:val="0"/>
          <w:bCs w:val="0"/>
          <w:sz w:val="32"/>
          <w:szCs w:val="32"/>
        </w:rPr>
        <w:t>第一部分</w:t>
      </w:r>
    </w:p>
    <w:p>
      <w:pPr>
        <w:keepNext w:val="0"/>
        <w:keepLines w:val="0"/>
        <w:pageBreakBefore w:val="0"/>
        <w:numPr>
          <w:ilvl w:val="-1"/>
          <w:numId w:val="0"/>
        </w:numPr>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 w:val="0"/>
          <w:bCs/>
          <w:spacing w:val="-10"/>
          <w:kern w:val="0"/>
          <w:sz w:val="32"/>
          <w:szCs w:val="32"/>
          <w:shd w:val="clear" w:color="auto" w:fill="FFFFFF"/>
          <w:lang w:bidi="ar"/>
        </w:rPr>
      </w:pPr>
      <w:r>
        <w:rPr>
          <w:rFonts w:hint="eastAsia" w:ascii="Times New Roman" w:hAnsi="Times New Roman" w:eastAsia="楷体" w:cs="楷体"/>
          <w:b w:val="0"/>
          <w:bCs/>
          <w:spacing w:val="-10"/>
          <w:kern w:val="0"/>
          <w:sz w:val="32"/>
          <w:szCs w:val="32"/>
          <w:shd w:val="clear" w:color="auto" w:fill="FFFFFF"/>
          <w:lang w:val="en-US" w:eastAsia="zh-CN" w:bidi="ar"/>
        </w:rPr>
        <w:t>（一）</w:t>
      </w:r>
      <w:r>
        <w:rPr>
          <w:rFonts w:hint="eastAsia" w:ascii="Times New Roman" w:hAnsi="Times New Roman" w:eastAsia="楷体" w:cs="楷体"/>
          <w:b w:val="0"/>
          <w:bCs/>
          <w:spacing w:val="-10"/>
          <w:kern w:val="0"/>
          <w:sz w:val="32"/>
          <w:szCs w:val="32"/>
          <w:shd w:val="clear" w:color="auto" w:fill="FFFFFF"/>
          <w:lang w:bidi="ar"/>
        </w:rPr>
        <w:t>科学目标</w:t>
      </w:r>
      <w:r>
        <w:rPr>
          <w:rFonts w:hint="eastAsia" w:ascii="Times New Roman" w:hAnsi="Times New Roman" w:eastAsia="楷体" w:cs="楷体"/>
          <w:b w:val="0"/>
          <w:bCs/>
          <w:spacing w:val="-10"/>
          <w:kern w:val="0"/>
          <w:sz w:val="32"/>
          <w:szCs w:val="32"/>
          <w:shd w:val="clear" w:color="auto" w:fill="FFFFFF"/>
          <w:lang w:eastAsia="zh-CN" w:bidi="ar"/>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围绕易感基因、肠黏膜屏障系统、肠免疫系统、肠道微生物及其代谢产物，阐明我国IBD发生发展机制，挖掘诊治和预警新靶标，开发防治新策略。</w:t>
      </w:r>
    </w:p>
    <w:p>
      <w:pPr>
        <w:keepNext w:val="0"/>
        <w:keepLines w:val="0"/>
        <w:pageBreakBefore w:val="0"/>
        <w:numPr>
          <w:ilvl w:val="-1"/>
          <w:numId w:val="0"/>
        </w:numPr>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 w:val="0"/>
          <w:bCs/>
          <w:spacing w:val="-10"/>
          <w:kern w:val="0"/>
          <w:sz w:val="32"/>
          <w:szCs w:val="32"/>
          <w:shd w:val="clear" w:color="auto" w:fill="FFFFFF"/>
          <w:lang w:bidi="ar"/>
        </w:rPr>
      </w:pPr>
      <w:r>
        <w:rPr>
          <w:rFonts w:hint="eastAsia" w:ascii="Times New Roman" w:hAnsi="Times New Roman" w:eastAsia="楷体" w:cs="楷体"/>
          <w:b w:val="0"/>
          <w:bCs/>
          <w:spacing w:val="-10"/>
          <w:kern w:val="0"/>
          <w:sz w:val="32"/>
          <w:szCs w:val="32"/>
          <w:shd w:val="clear" w:color="auto" w:fill="FFFFFF"/>
          <w:lang w:val="en-US" w:eastAsia="zh-CN" w:bidi="ar"/>
        </w:rPr>
        <w:t>（二）</w:t>
      </w:r>
      <w:r>
        <w:rPr>
          <w:rFonts w:hint="eastAsia" w:ascii="Times New Roman" w:hAnsi="Times New Roman" w:eastAsia="楷体" w:cs="楷体"/>
          <w:b w:val="0"/>
          <w:bCs/>
          <w:spacing w:val="-10"/>
          <w:kern w:val="0"/>
          <w:sz w:val="32"/>
          <w:szCs w:val="32"/>
          <w:shd w:val="clear" w:color="auto" w:fill="FFFFFF"/>
          <w:lang w:bidi="ar"/>
        </w:rPr>
        <w:t>拟资助研究方向</w:t>
      </w:r>
      <w:r>
        <w:rPr>
          <w:rFonts w:hint="eastAsia" w:ascii="Times New Roman" w:hAnsi="Times New Roman" w:eastAsia="楷体" w:cs="楷体"/>
          <w:b w:val="0"/>
          <w:bCs/>
          <w:spacing w:val="-10"/>
          <w:kern w:val="0"/>
          <w:sz w:val="32"/>
          <w:szCs w:val="32"/>
          <w:shd w:val="clear" w:color="auto" w:fill="FFFFFF"/>
          <w:lang w:eastAsia="zh-CN" w:bidi="ar"/>
        </w:rPr>
        <w:t>。</w:t>
      </w:r>
    </w:p>
    <w:p>
      <w:pPr>
        <w:pStyle w:val="5"/>
        <w:keepNext w:val="0"/>
        <w:keepLines w:val="0"/>
        <w:pageBreakBefore w:val="0"/>
        <w:numPr>
          <w:ilvl w:val="0"/>
          <w:numId w:val="1"/>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firstLine="626"/>
        <w:contextualSpacing/>
        <w:jc w:val="left"/>
        <w:textAlignment w:val="auto"/>
        <w:rPr>
          <w:rFonts w:hint="eastAsia" w:ascii="宋体" w:hAnsi="宋体" w:eastAsia="仿宋_GB2312" w:cs="仿宋_GB2312"/>
          <w:b/>
          <w:bCs w:val="0"/>
          <w:spacing w:val="-10"/>
          <w:sz w:val="32"/>
          <w:szCs w:val="32"/>
          <w:shd w:val="clear" w:color="auto" w:fill="FFFFFF"/>
          <w:lang w:bidi="ar"/>
        </w:rPr>
      </w:pPr>
      <w:r>
        <w:rPr>
          <w:rFonts w:hint="eastAsia" w:ascii="宋体" w:hAnsi="宋体" w:eastAsia="仿宋_GB2312" w:cs="仿宋_GB2312"/>
          <w:b/>
          <w:bCs w:val="0"/>
          <w:spacing w:val="-10"/>
          <w:sz w:val="32"/>
          <w:szCs w:val="32"/>
          <w:shd w:val="clear" w:color="auto" w:fill="FFFFFF"/>
          <w:lang w:bidi="ar"/>
        </w:rPr>
        <w:t>解析IBD的病因学基础</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widowControl/>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00" w:firstLineChars="200"/>
        <w:contextualSpacing/>
        <w:textAlignment w:val="auto"/>
        <w:rPr>
          <w:rFonts w:hint="eastAsia" w:ascii="Times New Roman" w:hAnsi="宋体" w:eastAsia="仿宋_GB2312" w:cs="仿宋_GB2312"/>
          <w:b w:val="0"/>
          <w:bCs w:val="0"/>
          <w:vanish w:val="0"/>
          <w:spacing w:val="-10"/>
          <w:kern w:val="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利用高通量多组学及形态学等研究方法，筛选并验证IBD精准诊断及分型的关键易感基因和生物标记物，建立疾病独立危险因素、分子分型及药物疗效临床预测模型。</w:t>
      </w:r>
    </w:p>
    <w:p>
      <w:pPr>
        <w:pStyle w:val="5"/>
        <w:keepNext w:val="0"/>
        <w:keepLines w:val="0"/>
        <w:pageBreakBefore w:val="0"/>
        <w:numPr>
          <w:ilvl w:val="0"/>
          <w:numId w:val="1"/>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26"/>
        <w:contextualSpacing/>
        <w:jc w:val="left"/>
        <w:textAlignment w:val="auto"/>
        <w:rPr>
          <w:rFonts w:hint="eastAsia" w:ascii="宋体" w:hAnsi="宋体" w:eastAsia="仿宋_GB2312" w:cs="仿宋_GB2312"/>
          <w:b/>
          <w:bCs w:val="0"/>
          <w:spacing w:val="-10"/>
          <w:sz w:val="32"/>
          <w:szCs w:val="32"/>
          <w:shd w:val="clear" w:color="auto" w:fill="FFFFFF"/>
          <w:lang w:eastAsia="zh-CN" w:bidi="ar"/>
        </w:rPr>
      </w:pPr>
      <w:r>
        <w:rPr>
          <w:rFonts w:hint="eastAsia" w:ascii="宋体" w:hAnsi="宋体" w:eastAsia="仿宋_GB2312" w:cs="仿宋_GB2312"/>
          <w:b/>
          <w:bCs w:val="0"/>
          <w:spacing w:val="-10"/>
          <w:sz w:val="32"/>
          <w:szCs w:val="32"/>
          <w:shd w:val="clear" w:color="auto" w:fill="FFFFFF"/>
          <w:lang w:bidi="ar"/>
        </w:rPr>
        <w:t>探索IBD病理生理学特征</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00"/>
        <w:jc w:val="both"/>
        <w:textAlignment w:val="auto"/>
        <w:rPr>
          <w:rFonts w:hint="eastAsia" w:ascii="Times New Roman" w:hAnsi="宋体" w:eastAsia="仿宋_GB2312" w:cs="仿宋_GB2312"/>
          <w:spacing w:val="-1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运用大型IBD临床队列/数据库、多种动物模型、肠道微生物种群及功能分析等手段，揭示肠道微生物及其代谢产物的功能分子、宿主基因、肠黏膜屏障/免疫系统互作在疾病发生发展中的时空特征，阐明IBD发生发展的机制。</w:t>
      </w:r>
    </w:p>
    <w:p>
      <w:pPr>
        <w:pStyle w:val="5"/>
        <w:keepNext w:val="0"/>
        <w:keepLines w:val="0"/>
        <w:pageBreakBefore w:val="0"/>
        <w:numPr>
          <w:ilvl w:val="0"/>
          <w:numId w:val="1"/>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26"/>
        <w:contextualSpacing/>
        <w:jc w:val="left"/>
        <w:textAlignment w:val="auto"/>
        <w:rPr>
          <w:rFonts w:hint="eastAsia" w:ascii="宋体" w:hAnsi="宋体" w:eastAsia="仿宋_GB2312" w:cs="仿宋_GB2312"/>
          <w:b/>
          <w:bCs w:val="0"/>
          <w:spacing w:val="-10"/>
          <w:sz w:val="32"/>
          <w:szCs w:val="32"/>
          <w:shd w:val="clear" w:color="auto" w:fill="FFFFFF"/>
          <w:lang w:bidi="ar"/>
        </w:rPr>
      </w:pPr>
      <w:r>
        <w:rPr>
          <w:rFonts w:hint="eastAsia" w:ascii="宋体" w:hAnsi="宋体" w:eastAsia="仿宋_GB2312" w:cs="仿宋_GB2312"/>
          <w:b/>
          <w:bCs w:val="0"/>
          <w:spacing w:val="-10"/>
          <w:sz w:val="32"/>
          <w:szCs w:val="32"/>
          <w:shd w:val="clear" w:color="auto" w:fill="FFFFFF"/>
          <w:lang w:bidi="ar"/>
        </w:rPr>
        <w:t>探究IBD有效诊疗新方法</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00"/>
        <w:jc w:val="both"/>
        <w:textAlignment w:val="auto"/>
        <w:rPr>
          <w:rFonts w:hint="eastAsia" w:ascii="Times New Roman" w:hAnsi="宋体" w:eastAsia="仿宋_GB2312" w:cs="仿宋_GB2312"/>
          <w:spacing w:val="-1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基于临床观察与干预研究的队列，发掘有效重塑及维持肠道稳态的关键细胞、分子和肠道微生物及其功能分子，探讨IBD有效诊治的新靶点、新方法和新策略。</w:t>
      </w:r>
    </w:p>
    <w:p>
      <w:pPr>
        <w:keepNext w:val="0"/>
        <w:keepLines w:val="0"/>
        <w:pageBreakBefore w:val="0"/>
        <w:kinsoku/>
        <w:topLinePunct w:val="0"/>
        <w:autoSpaceDE/>
        <w:autoSpaceDN/>
        <w:bidi w:val="0"/>
        <w:spacing w:beforeAutospacing="0" w:afterAutospacing="0" w:line="276" w:lineRule="auto"/>
        <w:ind w:firstLine="640" w:firstLineChars="200"/>
        <w:textAlignment w:val="auto"/>
        <w:rPr>
          <w:rFonts w:ascii="黑体" w:hAnsi="黑体" w:eastAsia="黑体" w:cs="微软雅黑"/>
          <w:b/>
          <w:kern w:val="0"/>
          <w:sz w:val="32"/>
          <w:szCs w:val="32"/>
        </w:rPr>
      </w:pPr>
      <w:r>
        <w:rPr>
          <w:rFonts w:hint="eastAsia" w:ascii="黑体" w:hAnsi="黑体" w:eastAsia="黑体" w:cs="微软雅黑"/>
          <w:b w:val="0"/>
          <w:bCs/>
          <w:sz w:val="32"/>
          <w:szCs w:val="32"/>
        </w:rPr>
        <w:t>第二部分</w:t>
      </w:r>
    </w:p>
    <w:p>
      <w:pPr>
        <w:keepNext w:val="0"/>
        <w:keepLines w:val="0"/>
        <w:pageBreakBefore w:val="0"/>
        <w:numPr>
          <w:ilvl w:val="-1"/>
          <w:numId w:val="0"/>
        </w:numPr>
        <w:shd w:val="clear" w:color="auto" w:fill="FFFFFF"/>
        <w:kinsoku/>
        <w:wordWrap w:val="0"/>
        <w:overflowPunct w:val="0"/>
        <w:topLinePunct w:val="0"/>
        <w:autoSpaceDE/>
        <w:autoSpaceDN/>
        <w:bidi w:val="0"/>
        <w:adjustRightInd w:val="0"/>
        <w:spacing w:beforeAutospacing="0" w:afterAutospacing="0" w:line="560" w:lineRule="exact"/>
        <w:ind w:firstLine="300" w:firstLineChars="100"/>
        <w:jc w:val="both"/>
        <w:textAlignment w:val="auto"/>
        <w:rPr>
          <w:rFonts w:hint="eastAsia" w:ascii="Times New Roman" w:hAnsi="Times New Roman" w:eastAsia="楷体" w:cs="楷体"/>
          <w:b w:val="0"/>
          <w:bCs/>
          <w:spacing w:val="-10"/>
          <w:kern w:val="0"/>
          <w:sz w:val="32"/>
          <w:szCs w:val="32"/>
          <w:shd w:val="clear" w:color="auto" w:fill="FFFFFF"/>
          <w:lang w:val="en-US" w:eastAsia="zh-CN" w:bidi="ar"/>
        </w:rPr>
      </w:pPr>
      <w:r>
        <w:rPr>
          <w:rFonts w:hint="eastAsia" w:ascii="Times New Roman" w:hAnsi="Times New Roman" w:eastAsia="楷体" w:cs="楷体"/>
          <w:b w:val="0"/>
          <w:bCs/>
          <w:spacing w:val="-10"/>
          <w:kern w:val="0"/>
          <w:sz w:val="32"/>
          <w:szCs w:val="32"/>
          <w:shd w:val="clear" w:color="auto" w:fill="FFFFFF"/>
          <w:lang w:val="en-US" w:eastAsia="zh-CN" w:bidi="ar"/>
        </w:rPr>
        <w:t>（一）</w:t>
      </w:r>
      <w:r>
        <w:rPr>
          <w:rFonts w:hint="eastAsia" w:ascii="Times New Roman" w:hAnsi="Times New Roman" w:eastAsia="楷体" w:cs="楷体"/>
          <w:b w:val="0"/>
          <w:bCs/>
          <w:spacing w:val="-10"/>
          <w:kern w:val="0"/>
          <w:sz w:val="32"/>
          <w:szCs w:val="32"/>
          <w:shd w:val="clear" w:color="auto" w:fill="FFFFFF"/>
          <w:lang w:bidi="ar"/>
        </w:rPr>
        <w:t>科学目标</w:t>
      </w:r>
      <w:r>
        <w:rPr>
          <w:rFonts w:hint="eastAsia" w:ascii="Times New Roman" w:hAnsi="Times New Roman" w:eastAsia="楷体" w:cs="楷体"/>
          <w:b w:val="0"/>
          <w:bCs/>
          <w:spacing w:val="-10"/>
          <w:kern w:val="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560" w:lineRule="exact"/>
        <w:ind w:firstLine="640" w:firstLineChars="200"/>
        <w:textAlignment w:val="auto"/>
        <w:rPr>
          <w:rFonts w:ascii="仿宋" w:hAnsi="仿宋" w:eastAsia="仿宋" w:cs="微软雅黑"/>
          <w:kern w:val="0"/>
          <w:sz w:val="32"/>
          <w:szCs w:val="32"/>
        </w:rPr>
      </w:pPr>
      <w:r>
        <w:rPr>
          <w:rFonts w:hint="eastAsia" w:ascii="仿宋" w:hAnsi="仿宋" w:eastAsia="仿宋" w:cs="微软雅黑"/>
          <w:kern w:val="0"/>
          <w:sz w:val="32"/>
          <w:szCs w:val="32"/>
        </w:rPr>
        <w:t>聚焦共性、关键科学问题，系统解析中医药治疗IBD临床有效方案的科学机理，阐明中医药治疗</w:t>
      </w:r>
      <w:r>
        <w:rPr>
          <w:rFonts w:ascii="仿宋" w:hAnsi="仿宋" w:eastAsia="仿宋" w:cs="微软雅黑"/>
          <w:kern w:val="0"/>
          <w:sz w:val="32"/>
          <w:szCs w:val="32"/>
        </w:rPr>
        <w:t>IBD</w:t>
      </w:r>
      <w:r>
        <w:rPr>
          <w:rFonts w:hint="eastAsia" w:ascii="仿宋" w:hAnsi="仿宋" w:eastAsia="仿宋" w:cs="微软雅黑"/>
          <w:kern w:val="0"/>
          <w:sz w:val="32"/>
          <w:szCs w:val="32"/>
        </w:rPr>
        <w:t>的疗效特点、起效规律、作用机制，提升中医药治疗</w:t>
      </w:r>
      <w:r>
        <w:rPr>
          <w:rFonts w:ascii="仿宋" w:hAnsi="仿宋" w:eastAsia="仿宋" w:cs="微软雅黑"/>
          <w:kern w:val="0"/>
          <w:sz w:val="32"/>
          <w:szCs w:val="32"/>
        </w:rPr>
        <w:t>IBD</w:t>
      </w:r>
      <w:r>
        <w:rPr>
          <w:rFonts w:hint="eastAsia" w:ascii="仿宋" w:hAnsi="仿宋" w:eastAsia="仿宋" w:cs="微软雅黑"/>
          <w:kern w:val="0"/>
          <w:sz w:val="32"/>
          <w:szCs w:val="32"/>
        </w:rPr>
        <w:t>的临床疗效。</w:t>
      </w:r>
    </w:p>
    <w:p>
      <w:pPr>
        <w:keepNext w:val="0"/>
        <w:keepLines w:val="0"/>
        <w:pageBreakBefore w:val="0"/>
        <w:numPr>
          <w:ilvl w:val="-1"/>
          <w:numId w:val="0"/>
        </w:numPr>
        <w:shd w:val="clear" w:color="auto" w:fill="FFFFFF"/>
        <w:kinsoku/>
        <w:wordWrap w:val="0"/>
        <w:overflowPunct w:val="0"/>
        <w:topLinePunct w:val="0"/>
        <w:autoSpaceDE/>
        <w:autoSpaceDN/>
        <w:bidi w:val="0"/>
        <w:adjustRightInd w:val="0"/>
        <w:spacing w:beforeAutospacing="0" w:afterAutospacing="0" w:line="560" w:lineRule="exact"/>
        <w:ind w:firstLine="300" w:firstLineChars="100"/>
        <w:jc w:val="both"/>
        <w:textAlignment w:val="auto"/>
        <w:rPr>
          <w:rFonts w:hint="eastAsia" w:ascii="Times New Roman" w:hAnsi="Times New Roman" w:eastAsia="楷体" w:cs="楷体"/>
          <w:b w:val="0"/>
          <w:bCs/>
          <w:spacing w:val="-10"/>
          <w:kern w:val="0"/>
          <w:sz w:val="32"/>
          <w:szCs w:val="32"/>
          <w:shd w:val="clear" w:color="auto" w:fill="FFFFFF"/>
          <w:lang w:eastAsia="zh-CN" w:bidi="ar"/>
        </w:rPr>
      </w:pPr>
      <w:bookmarkStart w:id="0" w:name="_GoBack"/>
      <w:bookmarkEnd w:id="0"/>
      <w:r>
        <w:rPr>
          <w:rFonts w:hint="eastAsia" w:ascii="Times New Roman" w:hAnsi="Times New Roman" w:eastAsia="楷体" w:cs="楷体"/>
          <w:b w:val="0"/>
          <w:bCs/>
          <w:spacing w:val="-10"/>
          <w:kern w:val="0"/>
          <w:sz w:val="32"/>
          <w:szCs w:val="32"/>
          <w:shd w:val="clear" w:color="auto" w:fill="FFFFFF"/>
          <w:lang w:val="en-US" w:eastAsia="zh-CN" w:bidi="ar"/>
        </w:rPr>
        <w:t>（二）</w:t>
      </w:r>
      <w:r>
        <w:rPr>
          <w:rFonts w:hint="eastAsia" w:ascii="Times New Roman" w:hAnsi="Times New Roman" w:eastAsia="楷体" w:cs="楷体"/>
          <w:b w:val="0"/>
          <w:bCs/>
          <w:spacing w:val="-10"/>
          <w:kern w:val="0"/>
          <w:sz w:val="32"/>
          <w:szCs w:val="32"/>
          <w:shd w:val="clear" w:color="auto" w:fill="FFFFFF"/>
          <w:lang w:bidi="ar"/>
        </w:rPr>
        <w:t>拟资助研究方向</w:t>
      </w:r>
      <w:r>
        <w:rPr>
          <w:rFonts w:hint="eastAsia" w:ascii="Times New Roman" w:hAnsi="Times New Roman" w:eastAsia="楷体" w:cs="楷体"/>
          <w:b w:val="0"/>
          <w:bCs/>
          <w:spacing w:val="-10"/>
          <w:kern w:val="0"/>
          <w:sz w:val="32"/>
          <w:szCs w:val="32"/>
          <w:shd w:val="clear" w:color="auto" w:fill="FFFFFF"/>
          <w:lang w:eastAsia="zh-CN" w:bidi="ar"/>
        </w:rPr>
        <w:t>。</w:t>
      </w:r>
    </w:p>
    <w:p>
      <w:pPr>
        <w:pStyle w:val="5"/>
        <w:keepNext w:val="0"/>
        <w:keepLines w:val="0"/>
        <w:pageBreakBefore w:val="0"/>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626" w:firstLine="0"/>
        <w:contextualSpacing/>
        <w:jc w:val="left"/>
        <w:textAlignment w:val="auto"/>
        <w:rPr>
          <w:rFonts w:hint="eastAsia" w:eastAsia="仿宋_GB2312" w:cs="仿宋_GB2312"/>
          <w:b/>
          <w:bCs w:val="0"/>
          <w:spacing w:val="-10"/>
          <w:sz w:val="32"/>
          <w:szCs w:val="32"/>
          <w:shd w:val="clear" w:color="auto" w:fill="FFFFFF"/>
          <w:lang w:eastAsia="zh-CN" w:bidi="ar"/>
        </w:rPr>
      </w:pPr>
      <w:r>
        <w:rPr>
          <w:rFonts w:hint="eastAsia" w:eastAsia="仿宋_GB2312" w:cs="仿宋_GB2312"/>
          <w:b/>
          <w:bCs w:val="0"/>
          <w:spacing w:val="-10"/>
          <w:sz w:val="32"/>
          <w:szCs w:val="32"/>
          <w:shd w:val="clear" w:color="auto" w:fill="FFFFFF"/>
          <w:lang w:val="en-US" w:eastAsia="zh-CN" w:bidi="ar"/>
        </w:rPr>
        <w:t xml:space="preserve">1. </w:t>
      </w:r>
      <w:r>
        <w:rPr>
          <w:rFonts w:hint="eastAsia" w:ascii="宋体" w:hAnsi="宋体" w:eastAsia="仿宋_GB2312" w:cs="仿宋_GB2312"/>
          <w:b/>
          <w:bCs w:val="0"/>
          <w:spacing w:val="-10"/>
          <w:sz w:val="32"/>
          <w:szCs w:val="32"/>
          <w:shd w:val="clear" w:color="auto" w:fill="FFFFFF"/>
          <w:lang w:bidi="ar"/>
        </w:rPr>
        <w:t>探索IBD中医证候演变及其生物学基础</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numPr>
          <w:ilvl w:val="0"/>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firstLine="600" w:firstLineChars="200"/>
        <w:contextualSpacing/>
        <w:jc w:val="both"/>
        <w:textAlignment w:val="auto"/>
        <w:rPr>
          <w:rFonts w:hint="eastAsia" w:ascii="Times New Roman" w:hAnsi="宋体" w:eastAsia="仿宋_GB2312" w:cs="仿宋_GB2312"/>
          <w:spacing w:val="-10"/>
          <w:kern w:val="0"/>
          <w:sz w:val="32"/>
          <w:szCs w:val="32"/>
          <w:shd w:val="clear" w:color="auto" w:fill="FFFFFF"/>
          <w:lang w:bidi="ar"/>
        </w:rPr>
      </w:pPr>
      <w:r>
        <w:rPr>
          <w:rFonts w:hint="eastAsia" w:ascii="Times New Roman" w:hAnsi="宋体" w:eastAsia="仿宋_GB2312" w:cs="仿宋_GB2312"/>
          <w:spacing w:val="-10"/>
          <w:kern w:val="0"/>
          <w:sz w:val="32"/>
          <w:szCs w:val="32"/>
          <w:shd w:val="clear" w:color="auto" w:fill="FFFFFF"/>
          <w:lang w:bidi="ar"/>
        </w:rPr>
        <w:t>基于临床诊疗数据、生物样本库等资源，结合临床疗效评价、系统生物学等多学科研究方法，聚焦中医药治疗IBD的优势阶段和关键科学问题，探索IBD主要证候特征、影响证候演变的因素及其相关的生物学基础。</w:t>
      </w:r>
    </w:p>
    <w:p>
      <w:pPr>
        <w:pStyle w:val="5"/>
        <w:keepNext w:val="0"/>
        <w:keepLines w:val="0"/>
        <w:pageBreakBefore w:val="0"/>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leftChars="0" w:firstLine="603" w:firstLineChars="200"/>
        <w:contextualSpacing/>
        <w:jc w:val="left"/>
        <w:textAlignment w:val="auto"/>
        <w:rPr>
          <w:rFonts w:hint="eastAsia" w:ascii="Times New Roman" w:hAnsi="宋体" w:eastAsia="仿宋_GB2312" w:cs="仿宋_GB2312"/>
          <w:spacing w:val="-10"/>
          <w:kern w:val="0"/>
          <w:sz w:val="32"/>
          <w:szCs w:val="32"/>
          <w:shd w:val="clear" w:color="auto" w:fill="FFFFFF"/>
          <w:lang w:bidi="ar"/>
        </w:rPr>
      </w:pPr>
      <w:r>
        <w:rPr>
          <w:rFonts w:hint="eastAsia" w:eastAsia="仿宋_GB2312" w:cs="仿宋_GB2312"/>
          <w:b/>
          <w:bCs w:val="0"/>
          <w:spacing w:val="-10"/>
          <w:sz w:val="32"/>
          <w:szCs w:val="32"/>
          <w:shd w:val="clear" w:color="auto" w:fill="FFFFFF"/>
          <w:lang w:val="en-US" w:eastAsia="zh-CN" w:bidi="ar"/>
        </w:rPr>
        <w:t xml:space="preserve">2. </w:t>
      </w:r>
      <w:r>
        <w:rPr>
          <w:rFonts w:hint="eastAsia" w:ascii="宋体" w:hAnsi="宋体" w:eastAsia="仿宋_GB2312" w:cs="仿宋_GB2312"/>
          <w:b/>
          <w:bCs w:val="0"/>
          <w:spacing w:val="-10"/>
          <w:sz w:val="32"/>
          <w:szCs w:val="32"/>
          <w:shd w:val="clear" w:color="auto" w:fill="FFFFFF"/>
          <w:lang w:bidi="ar"/>
        </w:rPr>
        <w:t>解析临床有效方药治疗IBD的科学内涵</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firstLine="600" w:firstLineChars="200"/>
        <w:contextualSpacing/>
        <w:jc w:val="both"/>
        <w:textAlignment w:val="auto"/>
        <w:rPr>
          <w:rFonts w:hint="eastAsia" w:ascii="Times New Roman" w:hAnsi="宋体" w:eastAsia="仿宋_GB2312" w:cs="仿宋_GB2312"/>
          <w:spacing w:val="-10"/>
          <w:kern w:val="0"/>
          <w:sz w:val="32"/>
          <w:szCs w:val="32"/>
          <w:shd w:val="clear" w:color="auto" w:fill="FFFFFF"/>
          <w:lang w:bidi="ar"/>
        </w:rPr>
      </w:pPr>
      <w:r>
        <w:rPr>
          <w:rFonts w:hint="eastAsia" w:ascii="Times New Roman" w:hAnsi="宋体" w:eastAsia="仿宋_GB2312" w:cs="仿宋_GB2312"/>
          <w:spacing w:val="-10"/>
          <w:kern w:val="0"/>
          <w:sz w:val="32"/>
          <w:szCs w:val="32"/>
          <w:shd w:val="clear" w:color="auto" w:fill="FFFFFF"/>
          <w:lang w:bidi="ar"/>
        </w:rPr>
        <w:t>运用生命科学和现代医药学前沿技术与方法，系统阐释IBD临床治疗有效方药的方证效应、物质基础及作用机制。</w:t>
      </w:r>
    </w:p>
    <w:p>
      <w:pPr>
        <w:pStyle w:val="5"/>
        <w:keepNext w:val="0"/>
        <w:keepLines w:val="0"/>
        <w:pageBreakBefore w:val="0"/>
        <w:shd w:val="clear" w:color="auto" w:fill="auto"/>
        <w:kinsoku/>
        <w:wordWrap w:val="0"/>
        <w:overflowPunct w:val="0"/>
        <w:topLinePunct w:val="0"/>
        <w:autoSpaceDE/>
        <w:autoSpaceDN/>
        <w:bidi w:val="0"/>
        <w:adjustRightInd w:val="0"/>
        <w:snapToGrid w:val="0"/>
        <w:spacing w:before="0" w:beforeAutospacing="0" w:after="0" w:afterAutospacing="0" w:line="560" w:lineRule="exact"/>
        <w:ind w:firstLine="600" w:firstLineChars="200"/>
        <w:jc w:val="left"/>
        <w:textAlignment w:val="auto"/>
        <w:rPr>
          <w:rFonts w:hint="eastAsia" w:ascii="Times New Roman" w:hAnsi="Times New Roman" w:eastAsia="黑体" w:cs="黑体"/>
          <w:spacing w:val="-10"/>
          <w:sz w:val="32"/>
          <w:szCs w:val="32"/>
          <w:lang w:bidi="ar"/>
        </w:rPr>
      </w:pPr>
      <w:r>
        <w:rPr>
          <w:rFonts w:hint="eastAsia" w:ascii="Times New Roman" w:hAnsi="Times New Roman" w:eastAsia="黑体" w:cs="黑体"/>
          <w:b w:val="0"/>
          <w:bCs w:val="0"/>
          <w:spacing w:val="-10"/>
          <w:sz w:val="32"/>
          <w:szCs w:val="32"/>
          <w:lang w:bidi="ar"/>
        </w:rPr>
        <w:t>二、资助期限和资助强度</w:t>
      </w:r>
    </w:p>
    <w:p>
      <w:pPr>
        <w:pStyle w:val="5"/>
        <w:keepNext w:val="0"/>
        <w:keepLines w:val="0"/>
        <w:pageBreakBefore w:val="0"/>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26" w:firstLineChars="0"/>
        <w:contextualSpacing/>
        <w:jc w:val="both"/>
        <w:textAlignment w:val="auto"/>
        <w:rPr>
          <w:rFonts w:hint="eastAsia" w:ascii="Times New Roman" w:hAnsi="宋体" w:eastAsia="仿宋_GB2312" w:cs="仿宋_GB2312"/>
          <w:spacing w:val="-1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本专项项目分以上两部分内容进行资助。第一部分计划资助直接费用总额度约2400万元；第二部分计划资助直接费用总额度约2000万元。项目资助期限为3年，采用“联合申请”方式，每对申请项目资助约200万元或400万元。申请书中研究期限应填写“2024年1月1日</w:t>
      </w:r>
      <w:r>
        <w:rPr>
          <w:rFonts w:hint="eastAsia" w:ascii="宋体" w:hAnsi="宋体" w:eastAsia="宋体" w:cs="宋体"/>
          <w:spacing w:val="-10"/>
          <w:sz w:val="32"/>
          <w:szCs w:val="32"/>
          <w:shd w:val="clear" w:color="auto" w:fill="FFFFFF"/>
          <w:lang w:bidi="ar"/>
        </w:rPr>
        <w:t>－</w:t>
      </w:r>
      <w:r>
        <w:rPr>
          <w:rFonts w:hint="eastAsia" w:ascii="Times New Roman" w:hAnsi="宋体" w:eastAsia="仿宋_GB2312" w:cs="仿宋_GB2312"/>
          <w:spacing w:val="-10"/>
          <w:sz w:val="32"/>
          <w:szCs w:val="32"/>
          <w:shd w:val="clear" w:color="auto" w:fill="FFFFFF"/>
          <w:lang w:bidi="ar"/>
        </w:rPr>
        <w:t>2026年12月31日”。</w:t>
      </w:r>
    </w:p>
    <w:p>
      <w:pPr>
        <w:pStyle w:val="5"/>
        <w:keepNext w:val="0"/>
        <w:keepLines w:val="0"/>
        <w:pageBreakBefore w:val="0"/>
        <w:shd w:val="clear" w:color="auto" w:fill="auto"/>
        <w:kinsoku/>
        <w:wordWrap w:val="0"/>
        <w:overflowPunct w:val="0"/>
        <w:topLinePunct w:val="0"/>
        <w:autoSpaceDE/>
        <w:autoSpaceDN/>
        <w:bidi w:val="0"/>
        <w:adjustRightInd w:val="0"/>
        <w:snapToGrid w:val="0"/>
        <w:spacing w:before="0" w:beforeAutospacing="0" w:after="0" w:afterAutospacing="0" w:line="560" w:lineRule="exact"/>
        <w:ind w:firstLine="600" w:firstLineChars="200"/>
        <w:jc w:val="left"/>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三、申请要求及注意事项</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（一）申请条件</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本专项项目申请人应当具备以下条件：</w:t>
      </w:r>
    </w:p>
    <w:p>
      <w:pPr>
        <w:pStyle w:val="5"/>
        <w:keepNext w:val="0"/>
        <w:keepLines w:val="0"/>
        <w:pageBreakBefore w:val="0"/>
        <w:numPr>
          <w:ilvl w:val="0"/>
          <w:numId w:val="2"/>
        </w:numPr>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具有承担基础研究课题的经历。</w:t>
      </w:r>
    </w:p>
    <w:p>
      <w:pPr>
        <w:pStyle w:val="5"/>
        <w:keepNext w:val="0"/>
        <w:keepLines w:val="0"/>
        <w:pageBreakBefore w:val="0"/>
        <w:numPr>
          <w:ilvl w:val="0"/>
          <w:numId w:val="2"/>
        </w:numPr>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具有高级专业技术职务（职称）。</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default" w:ascii="Times New Roman" w:hAnsi="Times New Roman" w:eastAsia="仿宋_GB2312" w:cs="仿宋_GB2312"/>
          <w:spacing w:val="-10"/>
          <w:kern w:val="0"/>
          <w:sz w:val="32"/>
          <w:szCs w:val="32"/>
          <w:shd w:val="clear" w:color="auto" w:fill="FFFFFF"/>
          <w:lang w:bidi="ar"/>
        </w:rPr>
        <w:t>在站博士后研究人员、正在攻读研究生学位以及无工作单位或者所在单位不是依托单位的人员不得作为申请人进行申请；2023年已获得200万元及以上强度国家自然科学基金项目的项目负责人，不得作为申请人申请本专项项目。</w:t>
      </w:r>
    </w:p>
    <w:p>
      <w:pPr>
        <w:pStyle w:val="5"/>
        <w:keepNext w:val="0"/>
        <w:keepLines w:val="0"/>
        <w:pageBreakBefore w:val="0"/>
        <w:numPr>
          <w:ilvl w:val="0"/>
          <w:numId w:val="2"/>
        </w:numPr>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鼓励45岁以下的青年学者作为申请人申请。</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（二）联合申请要求</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276" w:lineRule="auto"/>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（三）限项申请规定</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1.</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本专项项目从申请开始直到自然科学基金委作出资助与否决定之前，不计入科研人员申请和承担总数2项的范围；获资助后计入科研人员申请和承担总数的范围。</w:t>
      </w:r>
    </w:p>
    <w:p>
      <w:pPr>
        <w:pStyle w:val="5"/>
        <w:keepNext w:val="0"/>
        <w:keepLines w:val="0"/>
        <w:pageBreakBefore w:val="0"/>
        <w:shd w:val="clear" w:color="auto" w:fill="FFFFFF"/>
        <w:kinsoku/>
        <w:topLinePunct w:val="0"/>
        <w:autoSpaceDE/>
        <w:autoSpaceDN/>
        <w:bidi w:val="0"/>
        <w:adjustRightInd/>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2.</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申请人和主要参与者只能申请或参与申请1项本专项项目。</w:t>
      </w:r>
    </w:p>
    <w:p>
      <w:pPr>
        <w:pStyle w:val="5"/>
        <w:keepNext w:val="0"/>
        <w:keepLines w:val="0"/>
        <w:pageBreakBefore w:val="0"/>
        <w:shd w:val="clear" w:color="auto" w:fill="FFFFFF"/>
        <w:kinsoku/>
        <w:topLinePunct w:val="0"/>
        <w:autoSpaceDE/>
        <w:autoSpaceDN/>
        <w:bidi w:val="0"/>
        <w:adjustRightInd/>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3.</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申请人同年只能申请1项专项项目中的研究项目。</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（四）申请注意事项</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1.</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申请接收时间为2023年10月17日</w:t>
      </w:r>
      <w:r>
        <w:rPr>
          <w:rFonts w:hint="eastAsia" w:ascii="宋体" w:hAnsi="宋体" w:eastAsia="宋体" w:cs="宋体"/>
          <w:spacing w:val="-10"/>
          <w:kern w:val="2"/>
          <w:sz w:val="32"/>
          <w:szCs w:val="32"/>
          <w:shd w:val="clear" w:color="auto" w:fill="FFFFFF"/>
          <w:lang w:bidi="ar"/>
        </w:rPr>
        <w:t>－</w:t>
      </w:r>
      <w:r>
        <w:rPr>
          <w:rFonts w:hint="eastAsia" w:ascii="Times New Roman" w:hAnsi="Times New Roman" w:eastAsia="仿宋_GB2312" w:cs="仿宋_GB2312"/>
          <w:spacing w:val="-10"/>
          <w:kern w:val="2"/>
          <w:sz w:val="32"/>
          <w:szCs w:val="32"/>
          <w:shd w:val="clear" w:color="auto" w:fill="FFFFFF"/>
          <w:lang w:bidi="ar"/>
        </w:rPr>
        <w:t>10月19日16时。</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2.</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本专项项目申请书采用在线方式撰写。对申请人具体要求如下：</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（1）申请人在填报申请书前，应当认真阅读本专项项目指南和《2023年度国家自然科学基金项目指南》的相关内容，不符合项目指南和相关要求的申请项目不予受理。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2）申请人应围绕本项目指南公布的科学目标撰写申请书，针对本指南中拟资助的研究方向具体阐述拟开展的研究内容、方案及经费预算。申请书应突出有限目标和重点突破，明确对实现本专项项目总体目标的贡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（3）申请人登录科学基金网络信息系统http://grants.nsfc.gov.cn/（没有系统账号的申请人请向依托单位基金管理联系人申请开户），按照撰写提纲及相关要求撰写申请书。</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Cs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（4）申请书中的资助类别选择“专项项目”，亚类说明选择“研究项目”，附注说明选择“科学部综合研究项目”。</w:t>
      </w:r>
      <w:r>
        <w:rPr>
          <w:rFonts w:hint="eastAsia" w:ascii="Times New Roman" w:hAnsi="Times New Roman" w:eastAsia="仿宋_GB2312" w:cs="仿宋_GB2312"/>
          <w:b/>
          <w:bCs/>
          <w:spacing w:val="-10"/>
          <w:kern w:val="0"/>
          <w:sz w:val="32"/>
          <w:szCs w:val="32"/>
          <w:shd w:val="clear" w:color="auto" w:fill="FFFFFF"/>
          <w:lang w:bidi="ar"/>
        </w:rPr>
        <w:t>第一部分申请代码1选择“H03”；第二部分申请代码1选择“H31”。</w:t>
      </w:r>
      <w:r>
        <w:rPr>
          <w:rFonts w:hint="eastAsia" w:ascii="Times New Roman" w:hAnsi="Times New Roman" w:eastAsia="仿宋_GB2312" w:cs="仿宋_GB2312"/>
          <w:spacing w:val="-10"/>
          <w:kern w:val="0"/>
          <w:sz w:val="32"/>
          <w:szCs w:val="32"/>
          <w:shd w:val="clear" w:color="auto" w:fill="FFFFFF"/>
          <w:lang w:bidi="ar"/>
        </w:rPr>
        <w:t>申请代码2根据项目研究所涉及的领域自行选择相应学科申请代码。</w:t>
      </w:r>
      <w:r>
        <w:rPr>
          <w:rFonts w:hint="eastAsia" w:ascii="Times New Roman" w:hAnsi="Times New Roman" w:eastAsia="仿宋_GB2312" w:cs="仿宋_GB2312"/>
          <w:bCs w:val="0"/>
          <w:spacing w:val="-10"/>
          <w:kern w:val="0"/>
          <w:sz w:val="32"/>
          <w:szCs w:val="32"/>
          <w:shd w:val="clear" w:color="auto" w:fill="FFFFFF"/>
          <w:lang w:bidi="ar"/>
        </w:rPr>
        <w:t>以上选择不准确或未选择的项目申请不予资助。</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（5）每对项目的联合申请人应分别独立提交申请，但须填写相同的项目名称，项目名称后分别标注“（联合申请A）”或“（联合申请B）”。</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自然科学基金委将组织专家对联合申请进行整体评审。</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（7）申请书附件材料中需提供联合申请协议书，联合申请双方必须共同签字并由所在依托单位盖章，不可用只有单方签字的信函替代。</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（9）如果申请人已经承担与本专项项目相关的其他科技计划项目，应当在申请书正文的“研究基础与工作条件”部分论述申请项目与其他相关项目的区别与联系。</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（10）申请人应当认真阅读《2023年度国家自然科学基金项目指南》申请规定中预算编报要求的内容，如实编报项目预算。</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（11）申请人拟开展的研究工作须符合国家生物安全有关法规要求，涉及人的生物医学研究应提供依托单位的伦理审核证明。未按要求提供上述证明的申请项目将不予受理。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Times New Roman" w:eastAsia="仿宋_GB2312" w:cs="仿宋_GB2312"/>
          <w:bCs w:val="0"/>
          <w:spacing w:val="-10"/>
          <w:kern w:val="0"/>
          <w:sz w:val="32"/>
          <w:szCs w:val="32"/>
          <w:shd w:val="clear" w:color="auto" w:fill="FFFFFF"/>
          <w:lang w:bidi="ar"/>
        </w:rPr>
        <w:t>在项目申请接收截止时间（2023年10月19日16时）前通过信息系统逐项确认提交本单位电子申请书及附件材料；在截止时间后24小时内在线提交本单位申请项目清单。</w:t>
      </w:r>
      <w:r>
        <w:rPr>
          <w:rFonts w:hint="eastAsia" w:ascii="Times New Roman" w:hAnsi="Times New Roman" w:eastAsia="仿宋_GB2312" w:cs="仿宋_GB2312"/>
          <w:spacing w:val="-10"/>
          <w:kern w:val="0"/>
          <w:sz w:val="32"/>
          <w:szCs w:val="32"/>
          <w:shd w:val="clear" w:color="auto" w:fill="FFFFFF"/>
          <w:lang w:bidi="ar"/>
        </w:rPr>
        <w:t>项目获批准后，依托单位将申请书的纸质签字盖章页装订在《资助项目计划书》最后，在规定的时间内按要求一并提交。</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（四）其他注意事项</w:t>
      </w:r>
      <w:r>
        <w:rPr>
          <w:rFonts w:hint="eastAsia" w:ascii="Times New Roman" w:hAnsi="Times New Roman" w:eastAsia="楷体" w:cs="楷体"/>
          <w:spacing w:val="-10"/>
          <w:kern w:val="0"/>
          <w:sz w:val="32"/>
          <w:szCs w:val="32"/>
          <w:shd w:val="clear" w:color="auto" w:fill="FFFFFF"/>
          <w:lang w:eastAsia="zh-CN" w:bidi="ar"/>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ascii="Times New Roman" w:hAnsi="Times New Roman" w:eastAsia="仿宋_GB2312" w:cs="仿宋_GB2312"/>
          <w:spacing w:val="-10"/>
          <w:kern w:val="0"/>
          <w:sz w:val="32"/>
          <w:szCs w:val="32"/>
          <w:shd w:val="clear" w:color="auto" w:fill="FFFFFF"/>
          <w:lang w:bidi="ar"/>
        </w:rPr>
      </w:pPr>
      <w:r>
        <w:rPr>
          <w:rFonts w:hint="default" w:ascii="Times New Roman" w:hAnsi="Times New Roman" w:eastAsia="仿宋_GB2312" w:cs="仿宋_GB2312"/>
          <w:spacing w:val="-10"/>
          <w:kern w:val="0"/>
          <w:sz w:val="32"/>
          <w:szCs w:val="32"/>
          <w:shd w:val="clear" w:color="auto" w:fill="FFFFFF"/>
          <w:lang w:bidi="ar"/>
        </w:rPr>
        <w:t>1.</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default" w:ascii="Times New Roman" w:hAnsi="Times New Roman" w:eastAsia="仿宋_GB2312" w:cs="仿宋_GB2312"/>
          <w:spacing w:val="-10"/>
          <w:kern w:val="0"/>
          <w:sz w:val="32"/>
          <w:szCs w:val="32"/>
          <w:shd w:val="clear" w:color="auto" w:fill="FFFFFF"/>
          <w:lang w:bidi="ar"/>
        </w:rPr>
        <w:t>自然科学基金委将在官方网站公布资助专项项目基本信息，并将相关项目负责人项目执行情况计入信誉档案。</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ascii="Times New Roman" w:hAnsi="Times New Roman" w:eastAsia="仿宋_GB2312" w:cs="仿宋_GB2312"/>
          <w:spacing w:val="-10"/>
          <w:kern w:val="0"/>
          <w:sz w:val="32"/>
          <w:szCs w:val="32"/>
          <w:shd w:val="clear" w:color="auto" w:fill="FFFFFF"/>
          <w:lang w:bidi="ar"/>
        </w:rPr>
      </w:pPr>
      <w:r>
        <w:rPr>
          <w:rFonts w:hint="default" w:ascii="Times New Roman" w:hAnsi="Times New Roman" w:eastAsia="仿宋_GB2312" w:cs="仿宋_GB2312"/>
          <w:spacing w:val="-10"/>
          <w:kern w:val="0"/>
          <w:sz w:val="32"/>
          <w:szCs w:val="32"/>
          <w:shd w:val="clear" w:color="auto" w:fill="FFFFFF"/>
          <w:lang w:bidi="ar"/>
        </w:rPr>
        <w:t>2.</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default" w:ascii="Times New Roman" w:hAnsi="Times New Roman" w:eastAsia="仿宋_GB2312" w:cs="仿宋_GB2312"/>
          <w:spacing w:val="-10"/>
          <w:kern w:val="0"/>
          <w:sz w:val="32"/>
          <w:szCs w:val="32"/>
          <w:shd w:val="clear" w:color="auto" w:fill="FFFFFF"/>
          <w:lang w:bidi="ar"/>
        </w:rPr>
        <w:t>专项项目负责人应认真将主要精力投入专项项目的研究中；依托单位应加强对专项项目实施的监督、管理和服务，减轻项目负责人不必要的负担，为项目研究提供必要的制度和条件保障。</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eastAsia" w:ascii="Times New Roman" w:hAnsi="Times New Roman" w:eastAsia="仿宋_GB2312" w:cs="仿宋_GB2312"/>
          <w:spacing w:val="-10"/>
          <w:kern w:val="0"/>
          <w:sz w:val="32"/>
          <w:szCs w:val="32"/>
          <w:shd w:val="clear" w:color="auto" w:fill="FFFFFF"/>
          <w:lang w:bidi="ar"/>
        </w:rPr>
        <w:t>为更好实现总体目标，项目负责人应积极参加专项组织的学术交流活动，包括项目启动会、进展交流会等，及时交流研究进展情况并听取专家团队意见建议。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eastAsia" w:ascii="Times New Roman" w:hAnsi="Times New Roman" w:eastAsia="仿宋_GB2312" w:cs="仿宋_GB2312"/>
          <w:spacing w:val="-10"/>
          <w:kern w:val="0"/>
          <w:sz w:val="32"/>
          <w:szCs w:val="32"/>
          <w:shd w:val="clear" w:color="auto" w:fill="FFFFFF"/>
          <w:lang w:bidi="ar"/>
        </w:rPr>
        <w:t>项目研究结果将以适当形式共享。</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（五）本专项项目咨询方式</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left="2405" w:leftChars="304" w:hanging="1767" w:hangingChars="550"/>
        <w:jc w:val="both"/>
        <w:textAlignment w:val="auto"/>
        <w:rPr>
          <w:rFonts w:ascii="仿宋" w:hAnsi="仿宋" w:eastAsia="仿宋" w:cs="微软雅黑"/>
          <w:sz w:val="32"/>
          <w:szCs w:val="32"/>
        </w:rPr>
      </w:pPr>
      <w:r>
        <w:rPr>
          <w:rFonts w:hint="eastAsia" w:ascii="仿宋" w:hAnsi="仿宋" w:eastAsia="仿宋" w:cs="微软雅黑"/>
          <w:b/>
          <w:sz w:val="32"/>
          <w:szCs w:val="32"/>
        </w:rPr>
        <w:t>第一部分</w:t>
      </w:r>
      <w:r>
        <w:rPr>
          <w:rFonts w:hint="eastAsia" w:ascii="仿宋" w:hAnsi="仿宋" w:eastAsia="仿宋" w:cs="微软雅黑"/>
          <w:sz w:val="32"/>
          <w:szCs w:val="32"/>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1904" w:leftChars="304" w:hanging="1266" w:hangingChars="422"/>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国家自然科学基金委员会医学科学部医学科学二处 </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0"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联系电话：010-62328790</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left="2405" w:leftChars="304" w:hanging="1767" w:hangingChars="550"/>
        <w:jc w:val="both"/>
        <w:textAlignment w:val="auto"/>
        <w:rPr>
          <w:rFonts w:ascii="仿宋" w:hAnsi="仿宋" w:eastAsia="仿宋" w:cs="微软雅黑"/>
          <w:sz w:val="32"/>
          <w:szCs w:val="32"/>
        </w:rPr>
      </w:pPr>
      <w:r>
        <w:rPr>
          <w:rFonts w:hint="eastAsia" w:ascii="仿宋" w:hAnsi="仿宋" w:eastAsia="仿宋" w:cs="微软雅黑"/>
          <w:b/>
          <w:sz w:val="32"/>
          <w:szCs w:val="32"/>
        </w:rPr>
        <w:t>第二部分</w:t>
      </w:r>
      <w:r>
        <w:rPr>
          <w:rFonts w:hint="eastAsia" w:ascii="仿宋" w:hAnsi="仿宋" w:eastAsia="仿宋" w:cs="微软雅黑"/>
          <w:sz w:val="32"/>
          <w:szCs w:val="32"/>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2288" w:leftChars="304" w:hanging="1650" w:hangingChars="55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国家自然科学基金委员会医学科学部医学科学十处 </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0"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联系电话：010-62328634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7BF99"/>
    <w:multiLevelType w:val="singleLevel"/>
    <w:tmpl w:val="9277BF99"/>
    <w:lvl w:ilvl="0" w:tentative="0">
      <w:start w:val="1"/>
      <w:numFmt w:val="decimal"/>
      <w:suff w:val="space"/>
      <w:lvlText w:val="%1."/>
      <w:lvlJc w:val="left"/>
    </w:lvl>
  </w:abstractNum>
  <w:abstractNum w:abstractNumId="1">
    <w:nsid w:val="15742523"/>
    <w:multiLevelType w:val="singleLevel"/>
    <w:tmpl w:val="1574252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C813E9"/>
    <w:rsid w:val="0001395D"/>
    <w:rsid w:val="00026372"/>
    <w:rsid w:val="00055A24"/>
    <w:rsid w:val="0007052C"/>
    <w:rsid w:val="000B5531"/>
    <w:rsid w:val="000E7BCC"/>
    <w:rsid w:val="00125CF1"/>
    <w:rsid w:val="0014180C"/>
    <w:rsid w:val="001A7F8B"/>
    <w:rsid w:val="001C7FC1"/>
    <w:rsid w:val="001D19EB"/>
    <w:rsid w:val="001F463B"/>
    <w:rsid w:val="002058EE"/>
    <w:rsid w:val="00212123"/>
    <w:rsid w:val="002162F5"/>
    <w:rsid w:val="0025564F"/>
    <w:rsid w:val="0026758A"/>
    <w:rsid w:val="0027380D"/>
    <w:rsid w:val="00284A94"/>
    <w:rsid w:val="0029729B"/>
    <w:rsid w:val="002B1188"/>
    <w:rsid w:val="002B2558"/>
    <w:rsid w:val="002D3AB3"/>
    <w:rsid w:val="002D6B5F"/>
    <w:rsid w:val="002D6C6F"/>
    <w:rsid w:val="002E14AE"/>
    <w:rsid w:val="00313CF4"/>
    <w:rsid w:val="00372203"/>
    <w:rsid w:val="00376E95"/>
    <w:rsid w:val="00392A01"/>
    <w:rsid w:val="003940DA"/>
    <w:rsid w:val="003A365B"/>
    <w:rsid w:val="003C0F48"/>
    <w:rsid w:val="003E1946"/>
    <w:rsid w:val="003F7EFD"/>
    <w:rsid w:val="00401886"/>
    <w:rsid w:val="00434596"/>
    <w:rsid w:val="0044659B"/>
    <w:rsid w:val="00453E3E"/>
    <w:rsid w:val="00460C35"/>
    <w:rsid w:val="00474E73"/>
    <w:rsid w:val="0048618F"/>
    <w:rsid w:val="00492091"/>
    <w:rsid w:val="00496731"/>
    <w:rsid w:val="0049735F"/>
    <w:rsid w:val="004A733B"/>
    <w:rsid w:val="004A7877"/>
    <w:rsid w:val="004D7748"/>
    <w:rsid w:val="004E0545"/>
    <w:rsid w:val="004F6268"/>
    <w:rsid w:val="00524E89"/>
    <w:rsid w:val="00531D04"/>
    <w:rsid w:val="00565C6A"/>
    <w:rsid w:val="00575E00"/>
    <w:rsid w:val="00582B8A"/>
    <w:rsid w:val="00593BD0"/>
    <w:rsid w:val="005A254F"/>
    <w:rsid w:val="005B7748"/>
    <w:rsid w:val="005C0EED"/>
    <w:rsid w:val="005C6938"/>
    <w:rsid w:val="005E32A3"/>
    <w:rsid w:val="005F7710"/>
    <w:rsid w:val="00610452"/>
    <w:rsid w:val="006126DC"/>
    <w:rsid w:val="00631ECB"/>
    <w:rsid w:val="00640C6A"/>
    <w:rsid w:val="00661998"/>
    <w:rsid w:val="006E1438"/>
    <w:rsid w:val="00766982"/>
    <w:rsid w:val="00771594"/>
    <w:rsid w:val="00794AAB"/>
    <w:rsid w:val="007E20DE"/>
    <w:rsid w:val="007F1400"/>
    <w:rsid w:val="00815097"/>
    <w:rsid w:val="0083014A"/>
    <w:rsid w:val="00835BD6"/>
    <w:rsid w:val="00851AB3"/>
    <w:rsid w:val="008631EC"/>
    <w:rsid w:val="008B6C6D"/>
    <w:rsid w:val="008C244E"/>
    <w:rsid w:val="008E5C7A"/>
    <w:rsid w:val="00935EA0"/>
    <w:rsid w:val="00940F5C"/>
    <w:rsid w:val="009410F7"/>
    <w:rsid w:val="00941D4D"/>
    <w:rsid w:val="00950CA7"/>
    <w:rsid w:val="0095212A"/>
    <w:rsid w:val="009526BE"/>
    <w:rsid w:val="00957378"/>
    <w:rsid w:val="00986D5E"/>
    <w:rsid w:val="00996FF1"/>
    <w:rsid w:val="009B24A0"/>
    <w:rsid w:val="009C734D"/>
    <w:rsid w:val="009D54DA"/>
    <w:rsid w:val="009E4EF5"/>
    <w:rsid w:val="009F3505"/>
    <w:rsid w:val="00A11F4D"/>
    <w:rsid w:val="00A16BCA"/>
    <w:rsid w:val="00A24EDD"/>
    <w:rsid w:val="00A35FA6"/>
    <w:rsid w:val="00A37C6C"/>
    <w:rsid w:val="00A45483"/>
    <w:rsid w:val="00A60BED"/>
    <w:rsid w:val="00A67CE5"/>
    <w:rsid w:val="00AA5F91"/>
    <w:rsid w:val="00AE3AE7"/>
    <w:rsid w:val="00AE7D4C"/>
    <w:rsid w:val="00B068F3"/>
    <w:rsid w:val="00B36097"/>
    <w:rsid w:val="00B56419"/>
    <w:rsid w:val="00B82A57"/>
    <w:rsid w:val="00BE2372"/>
    <w:rsid w:val="00BF0EDA"/>
    <w:rsid w:val="00C035A5"/>
    <w:rsid w:val="00C37A94"/>
    <w:rsid w:val="00C46EC4"/>
    <w:rsid w:val="00C813E9"/>
    <w:rsid w:val="00C92903"/>
    <w:rsid w:val="00CE2747"/>
    <w:rsid w:val="00D533BD"/>
    <w:rsid w:val="00D7293A"/>
    <w:rsid w:val="00D85DCE"/>
    <w:rsid w:val="00DE2CEC"/>
    <w:rsid w:val="00DF39C8"/>
    <w:rsid w:val="00EA58C9"/>
    <w:rsid w:val="00EA5DE9"/>
    <w:rsid w:val="00F01CA0"/>
    <w:rsid w:val="00F6293E"/>
    <w:rsid w:val="00F81685"/>
    <w:rsid w:val="00F95BD4"/>
    <w:rsid w:val="00FB4E02"/>
    <w:rsid w:val="00FD7D77"/>
    <w:rsid w:val="00FE20A7"/>
    <w:rsid w:val="02E91F9E"/>
    <w:rsid w:val="0F2C7FC2"/>
    <w:rsid w:val="1B401424"/>
    <w:rsid w:val="22D13D43"/>
    <w:rsid w:val="2B8E1990"/>
    <w:rsid w:val="348F22D5"/>
    <w:rsid w:val="390064A2"/>
    <w:rsid w:val="3B111582"/>
    <w:rsid w:val="587655E7"/>
    <w:rsid w:val="61325B4D"/>
    <w:rsid w:val="65497647"/>
    <w:rsid w:val="731C562A"/>
    <w:rsid w:val="7B035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5FD9-99AF-4349-8228-80DA68634F98}">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495</Words>
  <Characters>2825</Characters>
  <Lines>23</Lines>
  <Paragraphs>6</Paragraphs>
  <TotalTime>76</TotalTime>
  <ScaleCrop>false</ScaleCrop>
  <LinksUpToDate>false</LinksUpToDate>
  <CharactersWithSpaces>3314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2023-09-13T23:53:00Z</dcterms:created>
  <dc:creator>1</dc:creator>
  <cp:lastModifiedBy>Ren</cp:lastModifiedBy>
  <cp:lastPrinted>2023-09-14T06:16:00Z</cp:lastPrinted>
  <dcterms:modified xsi:type="dcterms:W3CDTF">2023-09-15T09:32:10Z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7911FD31CD844E5ABA0AFFFF89FD0A4E_13</vt:lpwstr>
  </property>
</Properties>
</file>