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254" w:rsidRPr="00565254" w:rsidRDefault="00565254" w:rsidP="00565254">
      <w:pPr>
        <w:widowControl/>
        <w:shd w:val="clear" w:color="auto" w:fill="FFFFFF"/>
        <w:adjustRightInd w:val="0"/>
        <w:snapToGrid w:val="0"/>
        <w:spacing w:line="0" w:lineRule="atLeast"/>
        <w:jc w:val="center"/>
        <w:rPr>
          <w:rFonts w:ascii="宋体" w:eastAsia="宋体" w:hAnsi="宋体" w:cs="宋体"/>
          <w:kern w:val="0"/>
          <w:sz w:val="36"/>
          <w:szCs w:val="24"/>
        </w:rPr>
      </w:pPr>
      <w:r w:rsidRPr="00565254">
        <w:rPr>
          <w:rFonts w:ascii="宋体" w:eastAsia="宋体" w:hAnsi="宋体" w:cs="宋体" w:hint="eastAsia"/>
          <w:b/>
          <w:bCs/>
          <w:kern w:val="0"/>
          <w:sz w:val="36"/>
          <w:szCs w:val="24"/>
        </w:rPr>
        <w:t>深圳市基础研究项目管理办法</w:t>
      </w:r>
    </w:p>
    <w:p w:rsidR="00295748" w:rsidRPr="00295748" w:rsidRDefault="00295748" w:rsidP="00295748">
      <w:pPr>
        <w:widowControl/>
        <w:spacing w:after="240"/>
        <w:jc w:val="center"/>
        <w:rPr>
          <w:rFonts w:ascii="微软雅黑" w:eastAsia="微软雅黑" w:hAnsi="微软雅黑" w:cs="宋体"/>
          <w:color w:val="333333"/>
          <w:kern w:val="0"/>
          <w:sz w:val="24"/>
          <w:szCs w:val="24"/>
        </w:rPr>
      </w:pPr>
      <w:r w:rsidRPr="00295748">
        <w:rPr>
          <w:rFonts w:ascii="微软雅黑" w:eastAsia="微软雅黑" w:hAnsi="微软雅黑" w:cs="宋体" w:hint="eastAsia"/>
          <w:color w:val="333333"/>
          <w:kern w:val="0"/>
          <w:sz w:val="24"/>
          <w:szCs w:val="24"/>
        </w:rPr>
        <w:t>深科技创新</w:t>
      </w:r>
      <w:proofErr w:type="gramStart"/>
      <w:r w:rsidRPr="00295748">
        <w:rPr>
          <w:rFonts w:ascii="微软雅黑" w:eastAsia="微软雅黑" w:hAnsi="微软雅黑" w:cs="宋体" w:hint="eastAsia"/>
          <w:color w:val="333333"/>
          <w:kern w:val="0"/>
          <w:sz w:val="24"/>
          <w:szCs w:val="24"/>
        </w:rPr>
        <w:t>规</w:t>
      </w:r>
      <w:proofErr w:type="gramEnd"/>
      <w:r w:rsidRPr="00295748">
        <w:rPr>
          <w:rFonts w:ascii="微软雅黑" w:eastAsia="微软雅黑" w:hAnsi="微软雅黑" w:cs="宋体" w:hint="eastAsia"/>
          <w:color w:val="333333"/>
          <w:kern w:val="0"/>
          <w:sz w:val="24"/>
          <w:szCs w:val="24"/>
        </w:rPr>
        <w:t>〔2023〕8号</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各有关单位：</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为规范和加强对深圳市基础研究项目的管理，根据《深圳经济特区科技创新条例》以及国家省市有关规定，结合我市实际，我委修订《深圳市基础研究项目管理办法》，现予印发，请遵照执行。</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特此通知。</w:t>
      </w:r>
    </w:p>
    <w:p w:rsidR="00295748" w:rsidRPr="00295748" w:rsidRDefault="00295748" w:rsidP="00295748">
      <w:pPr>
        <w:widowControl/>
        <w:spacing w:after="240"/>
        <w:jc w:val="righ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深圳市科技创新委员会</w:t>
      </w:r>
    </w:p>
    <w:p w:rsidR="00295748" w:rsidRPr="00295748" w:rsidRDefault="00295748" w:rsidP="00295748">
      <w:pPr>
        <w:widowControl/>
        <w:spacing w:after="240"/>
        <w:jc w:val="righ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2023年11月9日</w:t>
      </w:r>
    </w:p>
    <w:p w:rsidR="00295748" w:rsidRPr="00295748" w:rsidRDefault="00295748" w:rsidP="00295748">
      <w:pPr>
        <w:widowControl/>
        <w:spacing w:after="240"/>
        <w:jc w:val="center"/>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b/>
          <w:bCs/>
          <w:color w:val="333333"/>
          <w:kern w:val="0"/>
          <w:sz w:val="24"/>
          <w:szCs w:val="24"/>
        </w:rPr>
        <w:t>深圳市基础研究项目管理办法</w:t>
      </w:r>
    </w:p>
    <w:p w:rsidR="00295748" w:rsidRPr="00295748" w:rsidRDefault="00295748" w:rsidP="00295748">
      <w:pPr>
        <w:widowControl/>
        <w:spacing w:after="240"/>
        <w:jc w:val="center"/>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b/>
          <w:bCs/>
          <w:color w:val="333333"/>
          <w:kern w:val="0"/>
          <w:sz w:val="24"/>
          <w:szCs w:val="24"/>
        </w:rPr>
        <w:t>第一章 总 则</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w:t>
      </w:r>
      <w:r w:rsidRPr="00295748">
        <w:rPr>
          <w:rFonts w:ascii="微软雅黑" w:eastAsia="微软雅黑" w:hAnsi="微软雅黑" w:cs="宋体" w:hint="eastAsia"/>
          <w:b/>
          <w:bCs/>
          <w:color w:val="333333"/>
          <w:kern w:val="0"/>
          <w:sz w:val="24"/>
          <w:szCs w:val="24"/>
        </w:rPr>
        <w:t>第一条</w:t>
      </w:r>
      <w:r w:rsidRPr="00295748">
        <w:rPr>
          <w:rFonts w:ascii="微软雅黑" w:eastAsia="微软雅黑" w:hAnsi="微软雅黑" w:cs="宋体" w:hint="eastAsia"/>
          <w:color w:val="333333"/>
          <w:kern w:val="0"/>
          <w:sz w:val="24"/>
          <w:szCs w:val="24"/>
        </w:rPr>
        <w:t> 为规范和加强对深圳市基础研究项目（以下简称基础研究项目）的管理,根据《深圳经济特区科技创新条例》以及国家省市有关规定，制定本办法。</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w:t>
      </w:r>
      <w:r w:rsidRPr="00295748">
        <w:rPr>
          <w:rFonts w:ascii="微软雅黑" w:eastAsia="微软雅黑" w:hAnsi="微软雅黑" w:cs="宋体" w:hint="eastAsia"/>
          <w:b/>
          <w:bCs/>
          <w:color w:val="333333"/>
          <w:kern w:val="0"/>
          <w:sz w:val="24"/>
          <w:szCs w:val="24"/>
        </w:rPr>
        <w:t>第二条</w:t>
      </w:r>
      <w:r w:rsidRPr="00295748">
        <w:rPr>
          <w:rFonts w:ascii="微软雅黑" w:eastAsia="微软雅黑" w:hAnsi="微软雅黑" w:cs="宋体" w:hint="eastAsia"/>
          <w:color w:val="333333"/>
          <w:kern w:val="0"/>
          <w:sz w:val="24"/>
          <w:szCs w:val="24"/>
        </w:rPr>
        <w:t> 本办法所称基础研究项目是指市科技行政主管部门通过科技计划项目的形式，支持本市高等院校、科研机构、医疗卫生单位以及具有基础研究能力的企业等各</w:t>
      </w:r>
      <w:proofErr w:type="gramStart"/>
      <w:r w:rsidRPr="00295748">
        <w:rPr>
          <w:rFonts w:ascii="微软雅黑" w:eastAsia="微软雅黑" w:hAnsi="微软雅黑" w:cs="宋体" w:hint="eastAsia"/>
          <w:color w:val="333333"/>
          <w:kern w:val="0"/>
          <w:sz w:val="24"/>
          <w:szCs w:val="24"/>
        </w:rPr>
        <w:t>类创新</w:t>
      </w:r>
      <w:proofErr w:type="gramEnd"/>
      <w:r w:rsidRPr="00295748">
        <w:rPr>
          <w:rFonts w:ascii="微软雅黑" w:eastAsia="微软雅黑" w:hAnsi="微软雅黑" w:cs="宋体" w:hint="eastAsia"/>
          <w:color w:val="333333"/>
          <w:kern w:val="0"/>
          <w:sz w:val="24"/>
          <w:szCs w:val="24"/>
        </w:rPr>
        <w:t>主体开展科学研究活动。基础研究项目是本市科技计划项目的重要组成部分，主要围绕本市发展需求,重点支持战略导向的体系化基础研究、前沿导向的探索性基础研究、市场导向的应用性基础研究。</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w:t>
      </w:r>
      <w:r w:rsidRPr="00295748">
        <w:rPr>
          <w:rFonts w:ascii="微软雅黑" w:eastAsia="微软雅黑" w:hAnsi="微软雅黑" w:cs="宋体" w:hint="eastAsia"/>
          <w:b/>
          <w:bCs/>
          <w:color w:val="333333"/>
          <w:kern w:val="0"/>
          <w:sz w:val="24"/>
          <w:szCs w:val="24"/>
        </w:rPr>
        <w:t>第三条</w:t>
      </w:r>
      <w:r w:rsidRPr="00295748">
        <w:rPr>
          <w:rFonts w:ascii="微软雅黑" w:eastAsia="微软雅黑" w:hAnsi="微软雅黑" w:cs="宋体" w:hint="eastAsia"/>
          <w:color w:val="333333"/>
          <w:kern w:val="0"/>
          <w:sz w:val="24"/>
          <w:szCs w:val="24"/>
        </w:rPr>
        <w:t> 基础研究项目坚持“四个面向”，坚持目标导向和自由探索“两条腿走路”的发展方针，围绕我市“20+8”重点产业集群，聚焦数理科学与交叉前沿、新材料与化学、合成生物学、地球与海洋科学、新一代信息与计算技术、生物医药与生命健康、碳中和与环境生态、高</w:t>
      </w:r>
      <w:r w:rsidRPr="00295748">
        <w:rPr>
          <w:rFonts w:ascii="微软雅黑" w:eastAsia="微软雅黑" w:hAnsi="微软雅黑" w:cs="宋体" w:hint="eastAsia"/>
          <w:color w:val="333333"/>
          <w:kern w:val="0"/>
          <w:sz w:val="24"/>
          <w:szCs w:val="24"/>
        </w:rPr>
        <w:lastRenderedPageBreak/>
        <w:t>端先进制造基础技术、生物育种与现代农业、城市治理与公共安全、量子科学与工程和脑科学与类脑研究等12个重点领域，强化基础研究的前瞻性、战略性、系统性布局，为推动本市基础研究高质量发展提供基础支撑。</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w:t>
      </w:r>
      <w:r w:rsidRPr="00295748">
        <w:rPr>
          <w:rFonts w:ascii="微软雅黑" w:eastAsia="微软雅黑" w:hAnsi="微软雅黑" w:cs="宋体" w:hint="eastAsia"/>
          <w:b/>
          <w:bCs/>
          <w:color w:val="333333"/>
          <w:kern w:val="0"/>
          <w:sz w:val="24"/>
          <w:szCs w:val="24"/>
        </w:rPr>
        <w:t>第四条</w:t>
      </w:r>
      <w:r w:rsidRPr="00295748">
        <w:rPr>
          <w:rFonts w:ascii="微软雅黑" w:eastAsia="微软雅黑" w:hAnsi="微软雅黑" w:cs="宋体" w:hint="eastAsia"/>
          <w:color w:val="333333"/>
          <w:kern w:val="0"/>
          <w:sz w:val="24"/>
          <w:szCs w:val="24"/>
        </w:rPr>
        <w:t> 市科技行政主管部门在基础研究项目管理过程中履行以下职责：</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（一）制定并发布年度项目指南；</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（二）受理项目申请；</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（三）组织或者委托第三方进行项目评审；</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（四）批准资助立项项目；</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（五）组织或者委托第三方管理和监督立项项目执行；</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（六）协调、处理项目执行中的有关问题；</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（七）组织或者委托第三方进行项目验收和项目绩效评估；</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（八）组织科技伦理监管等其他事宜。</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w:t>
      </w:r>
      <w:r w:rsidRPr="00295748">
        <w:rPr>
          <w:rFonts w:ascii="微软雅黑" w:eastAsia="微软雅黑" w:hAnsi="微软雅黑" w:cs="宋体" w:hint="eastAsia"/>
          <w:b/>
          <w:bCs/>
          <w:color w:val="333333"/>
          <w:kern w:val="0"/>
          <w:sz w:val="24"/>
          <w:szCs w:val="24"/>
        </w:rPr>
        <w:t>第五条</w:t>
      </w:r>
      <w:r w:rsidRPr="00295748">
        <w:rPr>
          <w:rFonts w:ascii="微软雅黑" w:eastAsia="微软雅黑" w:hAnsi="微软雅黑" w:cs="宋体" w:hint="eastAsia"/>
          <w:color w:val="333333"/>
          <w:kern w:val="0"/>
          <w:sz w:val="24"/>
          <w:szCs w:val="24"/>
        </w:rPr>
        <w:t> 项目承担单位应当制定完善的项目管理制度，并在项目实施中履行以下义务：</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（一）按照项目任务书（或项目合同）完成相应目标任务；</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（二）合法、合</w:t>
      </w:r>
      <w:proofErr w:type="gramStart"/>
      <w:r w:rsidRPr="00295748">
        <w:rPr>
          <w:rFonts w:ascii="微软雅黑" w:eastAsia="微软雅黑" w:hAnsi="微软雅黑" w:cs="宋体" w:hint="eastAsia"/>
          <w:color w:val="333333"/>
          <w:kern w:val="0"/>
          <w:sz w:val="24"/>
          <w:szCs w:val="24"/>
        </w:rPr>
        <w:t>规</w:t>
      </w:r>
      <w:proofErr w:type="gramEnd"/>
      <w:r w:rsidRPr="00295748">
        <w:rPr>
          <w:rFonts w:ascii="微软雅黑" w:eastAsia="微软雅黑" w:hAnsi="微软雅黑" w:cs="宋体" w:hint="eastAsia"/>
          <w:color w:val="333333"/>
          <w:kern w:val="0"/>
          <w:sz w:val="24"/>
          <w:szCs w:val="24"/>
        </w:rPr>
        <w:t>使用项目经费；</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（三）按照市科技行政主管部门要求如实填报项目进展情况以及相关统计调查表；</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（四）配合市科技行政主管部门或者其委托机构对项目进行检查、验收及绩效评估；</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lastRenderedPageBreak/>
        <w:t xml:space="preserve">　　（五）履行科技伦理管理主体责任，开展科技活动应进行科技伦理风险评估或审查，开展科技伦理高风险活动应按规定进行登记。</w:t>
      </w:r>
    </w:p>
    <w:p w:rsidR="00295748" w:rsidRPr="00295748" w:rsidRDefault="00295748" w:rsidP="00295748">
      <w:pPr>
        <w:widowControl/>
        <w:spacing w:after="240"/>
        <w:jc w:val="center"/>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b/>
          <w:bCs/>
          <w:color w:val="333333"/>
          <w:kern w:val="0"/>
          <w:sz w:val="24"/>
          <w:szCs w:val="24"/>
        </w:rPr>
        <w:t>第二章 项目类型、资助方式和资助条件</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w:t>
      </w:r>
      <w:r w:rsidRPr="00295748">
        <w:rPr>
          <w:rFonts w:ascii="微软雅黑" w:eastAsia="微软雅黑" w:hAnsi="微软雅黑" w:cs="宋体" w:hint="eastAsia"/>
          <w:b/>
          <w:bCs/>
          <w:color w:val="333333"/>
          <w:kern w:val="0"/>
          <w:sz w:val="24"/>
          <w:szCs w:val="24"/>
        </w:rPr>
        <w:t>第六条</w:t>
      </w:r>
      <w:r w:rsidRPr="00295748">
        <w:rPr>
          <w:rFonts w:ascii="微软雅黑" w:eastAsia="微软雅黑" w:hAnsi="微软雅黑" w:cs="宋体" w:hint="eastAsia"/>
          <w:color w:val="333333"/>
          <w:kern w:val="0"/>
          <w:sz w:val="24"/>
          <w:szCs w:val="24"/>
        </w:rPr>
        <w:t> 基础研究项目类型包括重大项目、重点项目、面上项目和创新生态项目等，采用事前无偿资助方式：</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一）重大项目支持科学技术人员面向科学前沿和深圳经济、社会及科技发展的重大需求中的重大科学问题，超前部署，开展多学科交叉研究和综合性研究，充分发挥支撑与引领作用，提升我市基础研究源头创新能力。每个项目资助额度最高不超过1000万元，研究期限一般不超过8年。</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二）重点项目支持科学技术人员针对已有较好基础的研究方向或者学科生长点开展深入、系统的创新性研究，促进学科发展，推动若干重要领域或者科学前沿取得突破。重点项目应当体现有限目标、有限规模、重点突出的原则。每个项目资助额度最高不超过300万元，研究期限一般不超过3年。</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（三）面上项目支持科学技术人员在项目指南范围内自主选题，开展创新性的科学研究，促进各学科均衡、协调和可持续发展。每个项目资助额度最高不超过60万元，研究期限一般不超过3年。</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四）创新生态项目支持科学技术团队开展需及时资助的创新研究、基础研究发展相关活动、科技伦理理论探索、期刊建设、智库建设、以及科技种质、数据、资源、样本等采集分析和体系建设等，支撑基础研究生态体系发展。每个项目资助额度和研究期限根据项目实际情况确定。</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w:t>
      </w:r>
      <w:r w:rsidRPr="00295748">
        <w:rPr>
          <w:rFonts w:ascii="微软雅黑" w:eastAsia="微软雅黑" w:hAnsi="微软雅黑" w:cs="宋体" w:hint="eastAsia"/>
          <w:b/>
          <w:bCs/>
          <w:color w:val="333333"/>
          <w:kern w:val="0"/>
          <w:sz w:val="24"/>
          <w:szCs w:val="24"/>
        </w:rPr>
        <w:t>第七条</w:t>
      </w:r>
      <w:r w:rsidRPr="00295748">
        <w:rPr>
          <w:rFonts w:ascii="微软雅黑" w:eastAsia="微软雅黑" w:hAnsi="微软雅黑" w:cs="宋体" w:hint="eastAsia"/>
          <w:color w:val="333333"/>
          <w:kern w:val="0"/>
          <w:sz w:val="24"/>
          <w:szCs w:val="24"/>
        </w:rPr>
        <w:t> 基础研究项目可采取公开竞争、稳定支持和定向委托方式组织实施。</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lastRenderedPageBreak/>
        <w:t xml:space="preserve">　　公开竞争方式为市科技行政主管部门公开受理重大项目、重点项目、面上项目或创新生态项目申请，择优支持申请单位开展基础科学研究。</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稳定支持方式为市科技行政主管部门按照稳定支持经费额度，支持符合条件的申请单位自主组织实施重点项目、面上项目或创新生态项目，开展基础科学研究。</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定向委托方式为市科技行政主管部门根据市委市政府重大工作部署，定向受理重大项目、重点项目、面上项目或创新生态项目申请，择优支持申请单位开展基础科学研究。</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市科技行政主管部门组织征集项目课题建议，根据深圳市优先发展领域、学科发展战略以及深圳市科技研发资金支出计划，组织或委托专业机构凝练制定课题指南。</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w:t>
      </w:r>
      <w:r w:rsidRPr="00295748">
        <w:rPr>
          <w:rFonts w:ascii="微软雅黑" w:eastAsia="微软雅黑" w:hAnsi="微软雅黑" w:cs="宋体" w:hint="eastAsia"/>
          <w:b/>
          <w:bCs/>
          <w:color w:val="333333"/>
          <w:kern w:val="0"/>
          <w:sz w:val="24"/>
          <w:szCs w:val="24"/>
        </w:rPr>
        <w:t>第八条</w:t>
      </w:r>
      <w:r w:rsidRPr="00295748">
        <w:rPr>
          <w:rFonts w:ascii="微软雅黑" w:eastAsia="微软雅黑" w:hAnsi="微软雅黑" w:cs="宋体" w:hint="eastAsia"/>
          <w:color w:val="333333"/>
          <w:kern w:val="0"/>
          <w:sz w:val="24"/>
          <w:szCs w:val="24"/>
        </w:rPr>
        <w:t> 基础研究项目申请单位应当是在深圳市或深</w:t>
      </w:r>
      <w:proofErr w:type="gramStart"/>
      <w:r w:rsidRPr="00295748">
        <w:rPr>
          <w:rFonts w:ascii="微软雅黑" w:eastAsia="微软雅黑" w:hAnsi="微软雅黑" w:cs="宋体" w:hint="eastAsia"/>
          <w:color w:val="333333"/>
          <w:kern w:val="0"/>
          <w:sz w:val="24"/>
          <w:szCs w:val="24"/>
        </w:rPr>
        <w:t>汕</w:t>
      </w:r>
      <w:proofErr w:type="gramEnd"/>
      <w:r w:rsidRPr="00295748">
        <w:rPr>
          <w:rFonts w:ascii="微软雅黑" w:eastAsia="微软雅黑" w:hAnsi="微软雅黑" w:cs="宋体" w:hint="eastAsia"/>
          <w:color w:val="333333"/>
          <w:kern w:val="0"/>
          <w:sz w:val="24"/>
          <w:szCs w:val="24"/>
        </w:rPr>
        <w:t>特别合作区内的，具有独立法人资格的高等院校、科研机构、医疗卫生单位以及其他具有基础研究能力的企业、社会组织，或者是经市政府批准的其他机构。</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w:t>
      </w:r>
      <w:r w:rsidRPr="00295748">
        <w:rPr>
          <w:rFonts w:ascii="微软雅黑" w:eastAsia="微软雅黑" w:hAnsi="微软雅黑" w:cs="宋体" w:hint="eastAsia"/>
          <w:b/>
          <w:bCs/>
          <w:color w:val="333333"/>
          <w:kern w:val="0"/>
          <w:sz w:val="24"/>
          <w:szCs w:val="24"/>
        </w:rPr>
        <w:t>第九条</w:t>
      </w:r>
      <w:r w:rsidRPr="00295748">
        <w:rPr>
          <w:rFonts w:ascii="微软雅黑" w:eastAsia="微软雅黑" w:hAnsi="微软雅黑" w:cs="宋体" w:hint="eastAsia"/>
          <w:color w:val="333333"/>
          <w:kern w:val="0"/>
          <w:sz w:val="24"/>
          <w:szCs w:val="24"/>
        </w:rPr>
        <w:t> 基础研究项目牵头申请人应当是所申请项目的实际负责人，且为申请单位全职人员，并符合以下条件：</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一）申请面上项目的项目牵头申请人，应当具有承担基础研究课题或者其他从事基础研究的经历，并且具有高级专业技术职务（职称）或者具有博士学位；或者是单位组织推荐的优秀学生；或者由2名与其研究领域相同、具有高级专业技术职务（职称）的科学技术人员推荐。鼓励优秀学生申请面上项目，优秀学生申请面上项目的，可以不受项目牵头申请人为申请单位全职人员的限制。</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二）申请重点项目、重大项目和创新生态项目的项目牵头申请人，应当具有承担基础研究课题的经历，并具有高级专业技术职务（职称）；在站博士后研究人员和正在攻读研究生学位的人员不得作为项目牵头申请人。</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lastRenderedPageBreak/>
        <w:t xml:space="preserve">　　</w:t>
      </w:r>
      <w:r w:rsidRPr="00295748">
        <w:rPr>
          <w:rFonts w:ascii="微软雅黑" w:eastAsia="微软雅黑" w:hAnsi="微软雅黑" w:cs="宋体" w:hint="eastAsia"/>
          <w:b/>
          <w:bCs/>
          <w:color w:val="333333"/>
          <w:kern w:val="0"/>
          <w:sz w:val="24"/>
          <w:szCs w:val="24"/>
        </w:rPr>
        <w:t>第十条</w:t>
      </w:r>
      <w:r w:rsidRPr="00295748">
        <w:rPr>
          <w:rFonts w:ascii="微软雅黑" w:eastAsia="微软雅黑" w:hAnsi="微软雅黑" w:cs="宋体" w:hint="eastAsia"/>
          <w:color w:val="333333"/>
          <w:kern w:val="0"/>
          <w:sz w:val="24"/>
          <w:szCs w:val="24"/>
        </w:rPr>
        <w:t> 项目组主要成员与项目牵头申请人不是同一单位的，项目组主要成员所在单位视为合作研究单位。申请单位应承</w:t>
      </w:r>
      <w:proofErr w:type="gramStart"/>
      <w:r w:rsidRPr="00295748">
        <w:rPr>
          <w:rFonts w:ascii="微软雅黑" w:eastAsia="微软雅黑" w:hAnsi="微软雅黑" w:cs="宋体" w:hint="eastAsia"/>
          <w:color w:val="333333"/>
          <w:kern w:val="0"/>
          <w:sz w:val="24"/>
          <w:szCs w:val="24"/>
        </w:rPr>
        <w:t>担项目</w:t>
      </w:r>
      <w:proofErr w:type="gramEnd"/>
      <w:r w:rsidRPr="00295748">
        <w:rPr>
          <w:rFonts w:ascii="微软雅黑" w:eastAsia="微软雅黑" w:hAnsi="微软雅黑" w:cs="宋体" w:hint="eastAsia"/>
          <w:color w:val="333333"/>
          <w:kern w:val="0"/>
          <w:sz w:val="24"/>
          <w:szCs w:val="24"/>
        </w:rPr>
        <w:t>主要工作并与合作研究单位签订合作协议书，明确双方的研究内容分工、财政资金及自筹资金分配、知识产权归属等。</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w:t>
      </w:r>
      <w:r w:rsidRPr="00295748">
        <w:rPr>
          <w:rFonts w:ascii="微软雅黑" w:eastAsia="微软雅黑" w:hAnsi="微软雅黑" w:cs="宋体" w:hint="eastAsia"/>
          <w:b/>
          <w:bCs/>
          <w:color w:val="333333"/>
          <w:kern w:val="0"/>
          <w:sz w:val="24"/>
          <w:szCs w:val="24"/>
        </w:rPr>
        <w:t>第十一条</w:t>
      </w:r>
      <w:r w:rsidRPr="00295748">
        <w:rPr>
          <w:rFonts w:ascii="微软雅黑" w:eastAsia="微软雅黑" w:hAnsi="微软雅黑" w:cs="宋体" w:hint="eastAsia"/>
          <w:color w:val="333333"/>
          <w:kern w:val="0"/>
          <w:sz w:val="24"/>
          <w:szCs w:val="24"/>
        </w:rPr>
        <w:t> 申请基础研究项目应当符合下列要求：</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一）所在单位为高等院校、科研机构、医疗卫生单位的项目牵头申请人申请（包括作为牵头申请人和主要成员）和正在承担（包括作为负责人和主要成员）的市级科技计划项目（平台载体、事后补助类除外）总数不得超过3项。</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（二）具有基础研究能力的企业、社会组织、或者是经市政府批准的其他机构当年度只能申请 1项基础研究项目。</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（三）申请的基础研究项目不得与已立项的国家、省和</w:t>
      </w:r>
      <w:proofErr w:type="gramStart"/>
      <w:r w:rsidRPr="00295748">
        <w:rPr>
          <w:rFonts w:ascii="微软雅黑" w:eastAsia="微软雅黑" w:hAnsi="微软雅黑" w:cs="宋体" w:hint="eastAsia"/>
          <w:color w:val="333333"/>
          <w:kern w:val="0"/>
          <w:sz w:val="24"/>
          <w:szCs w:val="24"/>
        </w:rPr>
        <w:t>市项目</w:t>
      </w:r>
      <w:proofErr w:type="gramEnd"/>
      <w:r w:rsidRPr="00295748">
        <w:rPr>
          <w:rFonts w:ascii="微软雅黑" w:eastAsia="微软雅黑" w:hAnsi="微软雅黑" w:cs="宋体" w:hint="eastAsia"/>
          <w:color w:val="333333"/>
          <w:kern w:val="0"/>
          <w:sz w:val="24"/>
          <w:szCs w:val="24"/>
        </w:rPr>
        <w:t>重复。</w:t>
      </w:r>
    </w:p>
    <w:p w:rsidR="00295748" w:rsidRPr="00295748" w:rsidRDefault="00295748" w:rsidP="00295748">
      <w:pPr>
        <w:widowControl/>
        <w:spacing w:after="240"/>
        <w:jc w:val="center"/>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b/>
          <w:bCs/>
          <w:color w:val="333333"/>
          <w:kern w:val="0"/>
          <w:sz w:val="24"/>
          <w:szCs w:val="24"/>
        </w:rPr>
        <w:t xml:space="preserve">　第三章 项目申请</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w:t>
      </w:r>
      <w:r w:rsidRPr="00295748">
        <w:rPr>
          <w:rFonts w:ascii="微软雅黑" w:eastAsia="微软雅黑" w:hAnsi="微软雅黑" w:cs="宋体" w:hint="eastAsia"/>
          <w:b/>
          <w:bCs/>
          <w:color w:val="333333"/>
          <w:kern w:val="0"/>
          <w:sz w:val="24"/>
          <w:szCs w:val="24"/>
        </w:rPr>
        <w:t>第十二条</w:t>
      </w:r>
      <w:r w:rsidRPr="00295748">
        <w:rPr>
          <w:rFonts w:ascii="微软雅黑" w:eastAsia="微软雅黑" w:hAnsi="微软雅黑" w:cs="宋体" w:hint="eastAsia"/>
          <w:color w:val="333333"/>
          <w:kern w:val="0"/>
          <w:sz w:val="24"/>
          <w:szCs w:val="24"/>
        </w:rPr>
        <w:t> 项目牵头申请人应当按照年度项目指南要求，通过所在单位向市科技行政主管部门提出书面申请。</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项目牵头申请人应当对所提交申请材料的真实性负责。</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申请单位应当对本单位项目牵头申请人提交的申请材料进行审核，确保申请材料的真实性和完整性。</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w:t>
      </w:r>
      <w:r w:rsidRPr="00295748">
        <w:rPr>
          <w:rFonts w:ascii="微软雅黑" w:eastAsia="微软雅黑" w:hAnsi="微软雅黑" w:cs="宋体" w:hint="eastAsia"/>
          <w:b/>
          <w:bCs/>
          <w:color w:val="333333"/>
          <w:kern w:val="0"/>
          <w:sz w:val="24"/>
          <w:szCs w:val="24"/>
        </w:rPr>
        <w:t>第十三条</w:t>
      </w:r>
      <w:r w:rsidRPr="00295748">
        <w:rPr>
          <w:rFonts w:ascii="微软雅黑" w:eastAsia="微软雅黑" w:hAnsi="微软雅黑" w:cs="宋体" w:hint="eastAsia"/>
          <w:color w:val="333333"/>
          <w:kern w:val="0"/>
          <w:sz w:val="24"/>
          <w:szCs w:val="24"/>
        </w:rPr>
        <w:t> 市科技行政主管部门收到申请材料后，牵头组织或者委托第三方开展形式审查、专家评审和现场核查。</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申请材料缺失的，项目牵头申请人应当按要求补充申请材料。</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lastRenderedPageBreak/>
        <w:t xml:space="preserve">　　市科技行政主管部门对拟立项的面上项目和创新生态项目原则上不进行现场核查，对拟立项的重点项目和重大项目结合实际情况进行现场核查。</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市科技行政主管部门根据形式审查、专家评审、现场核查、年度预算安排等择优确定拟资助项目名单及资助金额。</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w:t>
      </w:r>
      <w:r w:rsidRPr="00295748">
        <w:rPr>
          <w:rFonts w:ascii="微软雅黑" w:eastAsia="微软雅黑" w:hAnsi="微软雅黑" w:cs="宋体" w:hint="eastAsia"/>
          <w:b/>
          <w:bCs/>
          <w:color w:val="333333"/>
          <w:kern w:val="0"/>
          <w:sz w:val="24"/>
          <w:szCs w:val="24"/>
        </w:rPr>
        <w:t>第十四条</w:t>
      </w:r>
      <w:r w:rsidRPr="00295748">
        <w:rPr>
          <w:rFonts w:ascii="微软雅黑" w:eastAsia="微软雅黑" w:hAnsi="微软雅黑" w:cs="宋体" w:hint="eastAsia"/>
          <w:color w:val="333333"/>
          <w:kern w:val="0"/>
          <w:sz w:val="24"/>
          <w:szCs w:val="24"/>
        </w:rPr>
        <w:t> 市科技行政主管部门向社会公示拟资助项目名称等相关信息，公示期为10天，接受社会监督和意见反馈。</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公示期间有异议的项目，经调查属实并需调整的，由市科技行政主管部门重新审定。对评审专家的学术判断有不同意见，不得作为提出复审申请的理由。对经公示无异议或者经核查异议不成立的项目，市科技行政主管部门及时下达项目资助计划，拨付项目资金。对核查异议成立的，不予立项。</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根据《中华人民共和国政府信息公开条例》等规定及有关工作要求，市科技行政主管部门研究认为拟资助的项目符合相关不公示情形的，可以不予公示。</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w:t>
      </w:r>
      <w:r w:rsidRPr="00295748">
        <w:rPr>
          <w:rFonts w:ascii="微软雅黑" w:eastAsia="微软雅黑" w:hAnsi="微软雅黑" w:cs="宋体" w:hint="eastAsia"/>
          <w:b/>
          <w:bCs/>
          <w:color w:val="333333"/>
          <w:kern w:val="0"/>
          <w:sz w:val="24"/>
          <w:szCs w:val="24"/>
        </w:rPr>
        <w:t>第十五条</w:t>
      </w:r>
      <w:r w:rsidRPr="00295748">
        <w:rPr>
          <w:rFonts w:ascii="微软雅黑" w:eastAsia="微软雅黑" w:hAnsi="微软雅黑" w:cs="宋体" w:hint="eastAsia"/>
          <w:color w:val="333333"/>
          <w:kern w:val="0"/>
          <w:sz w:val="24"/>
          <w:szCs w:val="24"/>
        </w:rPr>
        <w:t> 项目承担单位应当在接到立项通知之日起 30天内与市科技行政主管部门签订项目任务书（或项目合同）。</w:t>
      </w:r>
    </w:p>
    <w:p w:rsidR="00295748" w:rsidRPr="00295748" w:rsidRDefault="00295748" w:rsidP="00295748">
      <w:pPr>
        <w:widowControl/>
        <w:spacing w:after="240"/>
        <w:jc w:val="center"/>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b/>
          <w:bCs/>
          <w:color w:val="333333"/>
          <w:kern w:val="0"/>
          <w:sz w:val="24"/>
          <w:szCs w:val="24"/>
        </w:rPr>
        <w:t xml:space="preserve">　第四章 项目管理与监督</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w:t>
      </w:r>
      <w:r w:rsidRPr="00295748">
        <w:rPr>
          <w:rFonts w:ascii="微软雅黑" w:eastAsia="微软雅黑" w:hAnsi="微软雅黑" w:cs="宋体" w:hint="eastAsia"/>
          <w:b/>
          <w:bCs/>
          <w:color w:val="333333"/>
          <w:kern w:val="0"/>
          <w:sz w:val="24"/>
          <w:szCs w:val="24"/>
        </w:rPr>
        <w:t>第十六条</w:t>
      </w:r>
      <w:r w:rsidRPr="00295748">
        <w:rPr>
          <w:rFonts w:ascii="微软雅黑" w:eastAsia="微软雅黑" w:hAnsi="微软雅黑" w:cs="宋体" w:hint="eastAsia"/>
          <w:color w:val="333333"/>
          <w:kern w:val="0"/>
          <w:sz w:val="24"/>
          <w:szCs w:val="24"/>
        </w:rPr>
        <w:t> 本办法有关项目经费使用与管理、过程管理、诚信管理、验收等未尽事项，按照市科技计划项目、资金、过程管理、验收、诚信管理等规定执行。</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w:t>
      </w:r>
      <w:r w:rsidRPr="00295748">
        <w:rPr>
          <w:rFonts w:ascii="微软雅黑" w:eastAsia="微软雅黑" w:hAnsi="微软雅黑" w:cs="宋体" w:hint="eastAsia"/>
          <w:b/>
          <w:bCs/>
          <w:color w:val="333333"/>
          <w:kern w:val="0"/>
          <w:sz w:val="24"/>
          <w:szCs w:val="24"/>
        </w:rPr>
        <w:t>第十七条</w:t>
      </w:r>
      <w:r w:rsidRPr="00295748">
        <w:rPr>
          <w:rFonts w:ascii="微软雅黑" w:eastAsia="微软雅黑" w:hAnsi="微软雅黑" w:cs="宋体" w:hint="eastAsia"/>
          <w:color w:val="333333"/>
          <w:kern w:val="0"/>
          <w:sz w:val="24"/>
          <w:szCs w:val="24"/>
        </w:rPr>
        <w:t> 市科技行政主管部门工作人员违反法律、法规以及本办法规定，依法追究行政责任，涉嫌犯罪的，依法移送司法机关处理。</w:t>
      </w:r>
    </w:p>
    <w:p w:rsidR="00295748" w:rsidRPr="00295748" w:rsidRDefault="00295748" w:rsidP="00295748">
      <w:pPr>
        <w:widowControl/>
        <w:spacing w:after="240"/>
        <w:jc w:val="center"/>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b/>
          <w:bCs/>
          <w:color w:val="333333"/>
          <w:kern w:val="0"/>
          <w:sz w:val="24"/>
          <w:szCs w:val="24"/>
        </w:rPr>
        <w:t xml:space="preserve">　第五章 附 则</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lastRenderedPageBreak/>
        <w:t xml:space="preserve">　　</w:t>
      </w:r>
      <w:r w:rsidRPr="00295748">
        <w:rPr>
          <w:rFonts w:ascii="微软雅黑" w:eastAsia="微软雅黑" w:hAnsi="微软雅黑" w:cs="宋体" w:hint="eastAsia"/>
          <w:b/>
          <w:bCs/>
          <w:color w:val="333333"/>
          <w:kern w:val="0"/>
          <w:sz w:val="24"/>
          <w:szCs w:val="24"/>
        </w:rPr>
        <w:t>第十八条</w:t>
      </w:r>
      <w:r w:rsidRPr="00295748">
        <w:rPr>
          <w:rFonts w:ascii="微软雅黑" w:eastAsia="微软雅黑" w:hAnsi="微软雅黑" w:cs="宋体" w:hint="eastAsia"/>
          <w:color w:val="333333"/>
          <w:kern w:val="0"/>
          <w:sz w:val="24"/>
          <w:szCs w:val="24"/>
        </w:rPr>
        <w:t> 资助项目所产生科技成果的知识产权（论文、著作、专利等）由项目承担单位依法取得，并应当标注“深圳市科技计划资助” （英文：Supported by Shenzhen Science and Technology Program）和项目任务书（或项目合同）编号。</w:t>
      </w:r>
    </w:p>
    <w:p w:rsidR="00295748" w:rsidRPr="00295748" w:rsidRDefault="00295748" w:rsidP="00295748">
      <w:pPr>
        <w:widowControl/>
        <w:spacing w:after="240"/>
        <w:jc w:val="left"/>
        <w:rPr>
          <w:rFonts w:ascii="微软雅黑" w:eastAsia="微软雅黑" w:hAnsi="微软雅黑" w:cs="宋体" w:hint="eastAsia"/>
          <w:color w:val="333333"/>
          <w:kern w:val="0"/>
          <w:sz w:val="24"/>
          <w:szCs w:val="24"/>
        </w:rPr>
      </w:pPr>
      <w:r w:rsidRPr="00295748">
        <w:rPr>
          <w:rFonts w:ascii="微软雅黑" w:eastAsia="微软雅黑" w:hAnsi="微软雅黑" w:cs="宋体" w:hint="eastAsia"/>
          <w:color w:val="333333"/>
          <w:kern w:val="0"/>
          <w:sz w:val="24"/>
          <w:szCs w:val="24"/>
        </w:rPr>
        <w:t xml:space="preserve">　　</w:t>
      </w:r>
      <w:r w:rsidRPr="00295748">
        <w:rPr>
          <w:rFonts w:ascii="微软雅黑" w:eastAsia="微软雅黑" w:hAnsi="微软雅黑" w:cs="宋体" w:hint="eastAsia"/>
          <w:b/>
          <w:bCs/>
          <w:color w:val="333333"/>
          <w:kern w:val="0"/>
          <w:sz w:val="24"/>
          <w:szCs w:val="24"/>
        </w:rPr>
        <w:t>第十九条</w:t>
      </w:r>
      <w:r w:rsidRPr="00295748">
        <w:rPr>
          <w:rFonts w:ascii="微软雅黑" w:eastAsia="微软雅黑" w:hAnsi="微软雅黑" w:cs="宋体" w:hint="eastAsia"/>
          <w:color w:val="333333"/>
          <w:kern w:val="0"/>
          <w:sz w:val="24"/>
          <w:szCs w:val="24"/>
        </w:rPr>
        <w:t> 本办法自 2023年11月9日起实施，有效期5年。《深圳市高等院校稳定支持计划管理办法》（深科技创新</w:t>
      </w:r>
      <w:proofErr w:type="gramStart"/>
      <w:r w:rsidRPr="00295748">
        <w:rPr>
          <w:rFonts w:ascii="微软雅黑" w:eastAsia="微软雅黑" w:hAnsi="微软雅黑" w:cs="宋体" w:hint="eastAsia"/>
          <w:color w:val="333333"/>
          <w:kern w:val="0"/>
          <w:sz w:val="24"/>
          <w:szCs w:val="24"/>
        </w:rPr>
        <w:t>规</w:t>
      </w:r>
      <w:proofErr w:type="gramEnd"/>
      <w:r w:rsidRPr="00295748">
        <w:rPr>
          <w:rFonts w:ascii="微软雅黑" w:eastAsia="微软雅黑" w:hAnsi="微软雅黑" w:cs="宋体" w:hint="eastAsia"/>
          <w:color w:val="333333"/>
          <w:kern w:val="0"/>
          <w:sz w:val="24"/>
          <w:szCs w:val="24"/>
        </w:rPr>
        <w:t>〔2020〕10号）与本办法不一致的，以本办法为准。</w:t>
      </w:r>
    </w:p>
    <w:p w:rsidR="00073572" w:rsidRPr="00295748" w:rsidRDefault="00073572" w:rsidP="00295748">
      <w:pPr>
        <w:widowControl/>
        <w:shd w:val="clear" w:color="auto" w:fill="FFFFFF"/>
        <w:adjustRightInd w:val="0"/>
        <w:snapToGrid w:val="0"/>
        <w:spacing w:line="0" w:lineRule="atLeast"/>
        <w:jc w:val="center"/>
      </w:pPr>
      <w:bookmarkStart w:id="0" w:name="_GoBack"/>
      <w:bookmarkEnd w:id="0"/>
    </w:p>
    <w:sectPr w:rsidR="00073572" w:rsidRPr="00295748" w:rsidSect="003C5242">
      <w:footerReference w:type="default" r:id="rId6"/>
      <w:pgSz w:w="11906" w:h="16838"/>
      <w:pgMar w:top="851" w:right="849" w:bottom="851" w:left="993" w:header="680"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EBD" w:rsidRDefault="00910EBD" w:rsidP="003C5242">
      <w:r>
        <w:separator/>
      </w:r>
    </w:p>
  </w:endnote>
  <w:endnote w:type="continuationSeparator" w:id="0">
    <w:p w:rsidR="00910EBD" w:rsidRDefault="00910EBD" w:rsidP="003C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598637"/>
      <w:docPartObj>
        <w:docPartGallery w:val="Page Numbers (Bottom of Page)"/>
        <w:docPartUnique/>
      </w:docPartObj>
    </w:sdtPr>
    <w:sdtEndPr/>
    <w:sdtContent>
      <w:p w:rsidR="003C5242" w:rsidRDefault="003C5242">
        <w:pPr>
          <w:pStyle w:val="a7"/>
          <w:jc w:val="center"/>
        </w:pPr>
        <w:r>
          <w:fldChar w:fldCharType="begin"/>
        </w:r>
        <w:r>
          <w:instrText>PAGE   \* MERGEFORMAT</w:instrText>
        </w:r>
        <w:r>
          <w:fldChar w:fldCharType="separate"/>
        </w:r>
        <w:r w:rsidR="00295748" w:rsidRPr="00295748">
          <w:rPr>
            <w:noProof/>
            <w:lang w:val="zh-CN"/>
          </w:rPr>
          <w:t>7</w:t>
        </w:r>
        <w:r>
          <w:fldChar w:fldCharType="end"/>
        </w:r>
      </w:p>
    </w:sdtContent>
  </w:sdt>
  <w:p w:rsidR="003C5242" w:rsidRDefault="003C524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EBD" w:rsidRDefault="00910EBD" w:rsidP="003C5242">
      <w:r>
        <w:separator/>
      </w:r>
    </w:p>
  </w:footnote>
  <w:footnote w:type="continuationSeparator" w:id="0">
    <w:p w:rsidR="00910EBD" w:rsidRDefault="00910EBD" w:rsidP="003C5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242"/>
    <w:rsid w:val="00073572"/>
    <w:rsid w:val="000778FB"/>
    <w:rsid w:val="00295748"/>
    <w:rsid w:val="003C5242"/>
    <w:rsid w:val="00565254"/>
    <w:rsid w:val="00910EBD"/>
    <w:rsid w:val="00D86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0B104-895B-486E-A82E-F869995F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C524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524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5242"/>
    <w:rPr>
      <w:b/>
      <w:bCs/>
    </w:rPr>
  </w:style>
  <w:style w:type="paragraph" w:styleId="a5">
    <w:name w:val="header"/>
    <w:basedOn w:val="a"/>
    <w:link w:val="a6"/>
    <w:uiPriority w:val="99"/>
    <w:unhideWhenUsed/>
    <w:rsid w:val="003C524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C5242"/>
    <w:rPr>
      <w:sz w:val="18"/>
      <w:szCs w:val="18"/>
    </w:rPr>
  </w:style>
  <w:style w:type="paragraph" w:styleId="a7">
    <w:name w:val="footer"/>
    <w:basedOn w:val="a"/>
    <w:link w:val="a8"/>
    <w:uiPriority w:val="99"/>
    <w:unhideWhenUsed/>
    <w:rsid w:val="003C5242"/>
    <w:pPr>
      <w:tabs>
        <w:tab w:val="center" w:pos="4153"/>
        <w:tab w:val="right" w:pos="8306"/>
      </w:tabs>
      <w:snapToGrid w:val="0"/>
      <w:jc w:val="left"/>
    </w:pPr>
    <w:rPr>
      <w:sz w:val="18"/>
      <w:szCs w:val="18"/>
    </w:rPr>
  </w:style>
  <w:style w:type="character" w:customStyle="1" w:styleId="a8">
    <w:name w:val="页脚 字符"/>
    <w:basedOn w:val="a0"/>
    <w:link w:val="a7"/>
    <w:uiPriority w:val="99"/>
    <w:rsid w:val="003C5242"/>
    <w:rPr>
      <w:sz w:val="18"/>
      <w:szCs w:val="18"/>
    </w:rPr>
  </w:style>
  <w:style w:type="character" w:customStyle="1" w:styleId="10">
    <w:name w:val="标题 1 字符"/>
    <w:basedOn w:val="a0"/>
    <w:link w:val="1"/>
    <w:uiPriority w:val="9"/>
    <w:rsid w:val="003C5242"/>
    <w:rPr>
      <w:rFonts w:ascii="宋体" w:eastAsia="宋体" w:hAnsi="宋体" w:cs="宋体"/>
      <w:b/>
      <w:bCs/>
      <w:kern w:val="36"/>
      <w:sz w:val="48"/>
      <w:szCs w:val="48"/>
    </w:rPr>
  </w:style>
  <w:style w:type="character" w:styleId="a9">
    <w:name w:val="Hyperlink"/>
    <w:basedOn w:val="a0"/>
    <w:uiPriority w:val="99"/>
    <w:semiHidden/>
    <w:unhideWhenUsed/>
    <w:rsid w:val="003C52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493024">
      <w:bodyDiv w:val="1"/>
      <w:marLeft w:val="0"/>
      <w:marRight w:val="0"/>
      <w:marTop w:val="0"/>
      <w:marBottom w:val="0"/>
      <w:divBdr>
        <w:top w:val="none" w:sz="0" w:space="0" w:color="auto"/>
        <w:left w:val="none" w:sz="0" w:space="0" w:color="auto"/>
        <w:bottom w:val="none" w:sz="0" w:space="0" w:color="auto"/>
        <w:right w:val="none" w:sz="0" w:space="0" w:color="auto"/>
      </w:divBdr>
      <w:divsChild>
        <w:div w:id="2025088709">
          <w:marLeft w:val="0"/>
          <w:marRight w:val="0"/>
          <w:marTop w:val="150"/>
          <w:marBottom w:val="150"/>
          <w:divBdr>
            <w:top w:val="none" w:sz="0" w:space="0" w:color="auto"/>
            <w:left w:val="none" w:sz="0" w:space="0" w:color="auto"/>
            <w:bottom w:val="none" w:sz="0" w:space="0" w:color="auto"/>
            <w:right w:val="none" w:sz="0" w:space="0" w:color="auto"/>
          </w:divBdr>
          <w:divsChild>
            <w:div w:id="297804665">
              <w:marLeft w:val="0"/>
              <w:marRight w:val="0"/>
              <w:marTop w:val="0"/>
              <w:marBottom w:val="0"/>
              <w:divBdr>
                <w:top w:val="none" w:sz="0" w:space="0" w:color="auto"/>
                <w:left w:val="none" w:sz="0" w:space="0" w:color="auto"/>
                <w:bottom w:val="none" w:sz="0" w:space="0" w:color="auto"/>
                <w:right w:val="none" w:sz="0" w:space="0" w:color="auto"/>
              </w:divBdr>
            </w:div>
            <w:div w:id="1582446241">
              <w:marLeft w:val="0"/>
              <w:marRight w:val="0"/>
              <w:marTop w:val="0"/>
              <w:marBottom w:val="0"/>
              <w:divBdr>
                <w:top w:val="none" w:sz="0" w:space="0" w:color="auto"/>
                <w:left w:val="none" w:sz="0" w:space="0" w:color="auto"/>
                <w:bottom w:val="none" w:sz="0" w:space="0" w:color="auto"/>
                <w:right w:val="none" w:sz="0" w:space="0" w:color="auto"/>
              </w:divBdr>
            </w:div>
            <w:div w:id="1417677127">
              <w:marLeft w:val="0"/>
              <w:marRight w:val="0"/>
              <w:marTop w:val="0"/>
              <w:marBottom w:val="0"/>
              <w:divBdr>
                <w:top w:val="none" w:sz="0" w:space="0" w:color="auto"/>
                <w:left w:val="none" w:sz="0" w:space="0" w:color="auto"/>
                <w:bottom w:val="none" w:sz="0" w:space="0" w:color="auto"/>
                <w:right w:val="none" w:sz="0" w:space="0" w:color="auto"/>
              </w:divBdr>
            </w:div>
          </w:divsChild>
        </w:div>
        <w:div w:id="1121413775">
          <w:marLeft w:val="0"/>
          <w:marRight w:val="0"/>
          <w:marTop w:val="300"/>
          <w:marBottom w:val="0"/>
          <w:divBdr>
            <w:top w:val="none" w:sz="0" w:space="0" w:color="auto"/>
            <w:left w:val="none" w:sz="0" w:space="0" w:color="auto"/>
            <w:bottom w:val="none" w:sz="0" w:space="0" w:color="auto"/>
            <w:right w:val="none" w:sz="0" w:space="0" w:color="auto"/>
          </w:divBdr>
        </w:div>
      </w:divsChild>
    </w:div>
    <w:div w:id="409815107">
      <w:bodyDiv w:val="1"/>
      <w:marLeft w:val="0"/>
      <w:marRight w:val="0"/>
      <w:marTop w:val="0"/>
      <w:marBottom w:val="0"/>
      <w:divBdr>
        <w:top w:val="none" w:sz="0" w:space="0" w:color="auto"/>
        <w:left w:val="none" w:sz="0" w:space="0" w:color="auto"/>
        <w:bottom w:val="none" w:sz="0" w:space="0" w:color="auto"/>
        <w:right w:val="none" w:sz="0" w:space="0" w:color="auto"/>
      </w:divBdr>
      <w:divsChild>
        <w:div w:id="761726206">
          <w:marLeft w:val="0"/>
          <w:marRight w:val="0"/>
          <w:marTop w:val="150"/>
          <w:marBottom w:val="150"/>
          <w:divBdr>
            <w:top w:val="none" w:sz="0" w:space="0" w:color="auto"/>
            <w:left w:val="none" w:sz="0" w:space="0" w:color="auto"/>
            <w:bottom w:val="none" w:sz="0" w:space="0" w:color="auto"/>
            <w:right w:val="none" w:sz="0" w:space="0" w:color="auto"/>
          </w:divBdr>
          <w:divsChild>
            <w:div w:id="1256941855">
              <w:marLeft w:val="0"/>
              <w:marRight w:val="0"/>
              <w:marTop w:val="0"/>
              <w:marBottom w:val="0"/>
              <w:divBdr>
                <w:top w:val="none" w:sz="0" w:space="0" w:color="auto"/>
                <w:left w:val="none" w:sz="0" w:space="0" w:color="auto"/>
                <w:bottom w:val="none" w:sz="0" w:space="0" w:color="auto"/>
                <w:right w:val="none" w:sz="0" w:space="0" w:color="auto"/>
              </w:divBdr>
            </w:div>
            <w:div w:id="1957444354">
              <w:marLeft w:val="0"/>
              <w:marRight w:val="0"/>
              <w:marTop w:val="0"/>
              <w:marBottom w:val="0"/>
              <w:divBdr>
                <w:top w:val="none" w:sz="0" w:space="0" w:color="auto"/>
                <w:left w:val="none" w:sz="0" w:space="0" w:color="auto"/>
                <w:bottom w:val="none" w:sz="0" w:space="0" w:color="auto"/>
                <w:right w:val="none" w:sz="0" w:space="0" w:color="auto"/>
              </w:divBdr>
            </w:div>
            <w:div w:id="1194266479">
              <w:marLeft w:val="0"/>
              <w:marRight w:val="0"/>
              <w:marTop w:val="0"/>
              <w:marBottom w:val="0"/>
              <w:divBdr>
                <w:top w:val="none" w:sz="0" w:space="0" w:color="auto"/>
                <w:left w:val="none" w:sz="0" w:space="0" w:color="auto"/>
                <w:bottom w:val="none" w:sz="0" w:space="0" w:color="auto"/>
                <w:right w:val="none" w:sz="0" w:space="0" w:color="auto"/>
              </w:divBdr>
            </w:div>
          </w:divsChild>
        </w:div>
        <w:div w:id="420680599">
          <w:marLeft w:val="0"/>
          <w:marRight w:val="0"/>
          <w:marTop w:val="300"/>
          <w:marBottom w:val="0"/>
          <w:divBdr>
            <w:top w:val="none" w:sz="0" w:space="0" w:color="auto"/>
            <w:left w:val="none" w:sz="0" w:space="0" w:color="auto"/>
            <w:bottom w:val="none" w:sz="0" w:space="0" w:color="auto"/>
            <w:right w:val="none" w:sz="0" w:space="0" w:color="auto"/>
          </w:divBdr>
        </w:div>
      </w:divsChild>
    </w:div>
    <w:div w:id="758252195">
      <w:bodyDiv w:val="1"/>
      <w:marLeft w:val="0"/>
      <w:marRight w:val="0"/>
      <w:marTop w:val="0"/>
      <w:marBottom w:val="0"/>
      <w:divBdr>
        <w:top w:val="none" w:sz="0" w:space="0" w:color="auto"/>
        <w:left w:val="none" w:sz="0" w:space="0" w:color="auto"/>
        <w:bottom w:val="none" w:sz="0" w:space="0" w:color="auto"/>
        <w:right w:val="none" w:sz="0" w:space="0" w:color="auto"/>
      </w:divBdr>
    </w:div>
    <w:div w:id="1055616764">
      <w:bodyDiv w:val="1"/>
      <w:marLeft w:val="0"/>
      <w:marRight w:val="0"/>
      <w:marTop w:val="0"/>
      <w:marBottom w:val="0"/>
      <w:divBdr>
        <w:top w:val="none" w:sz="0" w:space="0" w:color="auto"/>
        <w:left w:val="none" w:sz="0" w:space="0" w:color="auto"/>
        <w:bottom w:val="none" w:sz="0" w:space="0" w:color="auto"/>
        <w:right w:val="none" w:sz="0" w:space="0" w:color="auto"/>
      </w:divBdr>
    </w:div>
    <w:div w:id="132913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4</cp:revision>
  <dcterms:created xsi:type="dcterms:W3CDTF">2020-12-10T08:55:00Z</dcterms:created>
  <dcterms:modified xsi:type="dcterms:W3CDTF">2023-11-17T08:56:00Z</dcterms:modified>
</cp:coreProperties>
</file>